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4B" w:rsidRPr="005D7C2F" w:rsidRDefault="00183C4B" w:rsidP="00183C4B">
      <w:pPr>
        <w:jc w:val="center"/>
        <w:rPr>
          <w:b/>
          <w:u w:val="single"/>
        </w:rPr>
      </w:pPr>
      <w:r w:rsidRPr="005D7C2F">
        <w:rPr>
          <w:b/>
          <w:u w:val="single"/>
        </w:rPr>
        <w:t>Miestn</w:t>
      </w:r>
      <w:r w:rsidR="005D7C2F" w:rsidRPr="005D7C2F">
        <w:rPr>
          <w:b/>
          <w:u w:val="single"/>
        </w:rPr>
        <w:t xml:space="preserve">e zastupiteľstvo </w:t>
      </w:r>
      <w:r w:rsidRPr="005D7C2F">
        <w:rPr>
          <w:b/>
          <w:u w:val="single"/>
        </w:rPr>
        <w:t xml:space="preserve">mestskej časti </w:t>
      </w:r>
      <w:proofErr w:type="spellStart"/>
      <w:r w:rsidRPr="005D7C2F">
        <w:rPr>
          <w:b/>
          <w:u w:val="single"/>
        </w:rPr>
        <w:t>Bratislava-Petržalka</w:t>
      </w:r>
      <w:proofErr w:type="spellEnd"/>
    </w:p>
    <w:p w:rsidR="00183C4B" w:rsidRDefault="00183C4B" w:rsidP="00183C4B">
      <w:pPr>
        <w:jc w:val="both"/>
      </w:pPr>
    </w:p>
    <w:p w:rsidR="00183C4B" w:rsidRDefault="00183C4B" w:rsidP="00183C4B">
      <w:pPr>
        <w:jc w:val="both"/>
      </w:pPr>
    </w:p>
    <w:p w:rsidR="00183C4B" w:rsidRDefault="00183C4B" w:rsidP="00183C4B">
      <w:pPr>
        <w:jc w:val="both"/>
      </w:pPr>
    </w:p>
    <w:p w:rsidR="00915F96" w:rsidRDefault="00915F96" w:rsidP="00183C4B">
      <w:pPr>
        <w:jc w:val="both"/>
      </w:pPr>
    </w:p>
    <w:p w:rsidR="00915F96" w:rsidRDefault="005D7C2F" w:rsidP="00183C4B">
      <w:pPr>
        <w:jc w:val="both"/>
      </w:pPr>
      <w:r>
        <w:t>Materiál na rokovanie</w:t>
      </w:r>
    </w:p>
    <w:p w:rsidR="005D7C2F" w:rsidRDefault="005D7C2F" w:rsidP="005D7C2F">
      <w:r>
        <w:t>m</w:t>
      </w:r>
      <w:r w:rsidR="00E47DBE">
        <w:t xml:space="preserve">iestneho zastupiteľstva </w:t>
      </w:r>
    </w:p>
    <w:p w:rsidR="00183C4B" w:rsidRDefault="00E47DBE" w:rsidP="005D7C2F">
      <w:r>
        <w:t xml:space="preserve">dňa </w:t>
      </w:r>
      <w:r w:rsidR="00086AD4">
        <w:t>1</w:t>
      </w:r>
      <w:r w:rsidR="00944A54">
        <w:t>6</w:t>
      </w:r>
      <w:r w:rsidR="00086AD4">
        <w:t xml:space="preserve">. </w:t>
      </w:r>
      <w:r w:rsidR="00944A54">
        <w:t xml:space="preserve">septembra </w:t>
      </w:r>
      <w:r w:rsidR="00086AD4">
        <w:t>20</w:t>
      </w:r>
      <w:r w:rsidR="00944A54">
        <w:t>20</w:t>
      </w:r>
    </w:p>
    <w:p w:rsidR="00183C4B" w:rsidRDefault="00183C4B" w:rsidP="00183C4B">
      <w:pPr>
        <w:jc w:val="both"/>
      </w:pPr>
    </w:p>
    <w:p w:rsidR="00183C4B" w:rsidRDefault="00183C4B" w:rsidP="00183C4B">
      <w:pPr>
        <w:jc w:val="both"/>
      </w:pPr>
    </w:p>
    <w:p w:rsidR="00183C4B" w:rsidRDefault="00ED4CBA" w:rsidP="00183C4B">
      <w:pPr>
        <w:jc w:val="both"/>
      </w:pPr>
      <w:r>
        <w:t>materiál číslo: 86</w:t>
      </w:r>
      <w:r w:rsidR="00944A54">
        <w:t>/2020</w:t>
      </w:r>
    </w:p>
    <w:p w:rsidR="00183C4B" w:rsidRDefault="00183C4B" w:rsidP="00183C4B">
      <w:pPr>
        <w:jc w:val="both"/>
      </w:pPr>
    </w:p>
    <w:p w:rsidR="00183C4B" w:rsidRDefault="00183C4B" w:rsidP="00183C4B">
      <w:pPr>
        <w:jc w:val="both"/>
      </w:pPr>
    </w:p>
    <w:p w:rsidR="00183C4B" w:rsidRDefault="00183C4B" w:rsidP="00183C4B">
      <w:pPr>
        <w:jc w:val="both"/>
      </w:pPr>
    </w:p>
    <w:p w:rsidR="00183C4B" w:rsidRDefault="00183C4B" w:rsidP="00183C4B">
      <w:pPr>
        <w:jc w:val="both"/>
      </w:pPr>
    </w:p>
    <w:p w:rsidR="00183C4B" w:rsidRDefault="00183C4B" w:rsidP="00183C4B">
      <w:pPr>
        <w:jc w:val="both"/>
      </w:pPr>
    </w:p>
    <w:p w:rsidR="00183C4B" w:rsidRDefault="00183C4B" w:rsidP="00183C4B">
      <w:pPr>
        <w:jc w:val="both"/>
      </w:pPr>
    </w:p>
    <w:p w:rsidR="00183C4B" w:rsidRDefault="005D7C2F" w:rsidP="005D7C2F">
      <w:pPr>
        <w:pBdr>
          <w:bottom w:val="single" w:sz="12" w:space="1" w:color="auto"/>
        </w:pBdr>
        <w:autoSpaceDE w:val="0"/>
        <w:autoSpaceDN w:val="0"/>
        <w:adjustRightInd w:val="0"/>
        <w:jc w:val="center"/>
        <w:rPr>
          <w:rFonts w:eastAsiaTheme="minorHAnsi"/>
          <w:b/>
          <w:bCs/>
          <w:lang w:eastAsia="en-US"/>
        </w:rPr>
      </w:pPr>
      <w:bookmarkStart w:id="0" w:name="_GoBack"/>
      <w:r>
        <w:rPr>
          <w:b/>
          <w:bCs/>
        </w:rPr>
        <w:t xml:space="preserve">Stanovisko </w:t>
      </w:r>
      <w:r w:rsidR="00B8422F">
        <w:rPr>
          <w:b/>
          <w:bCs/>
        </w:rPr>
        <w:t>m</w:t>
      </w:r>
      <w:r>
        <w:rPr>
          <w:b/>
          <w:bCs/>
        </w:rPr>
        <w:t xml:space="preserve">estskej časti </w:t>
      </w:r>
      <w:proofErr w:type="spellStart"/>
      <w:r>
        <w:rPr>
          <w:b/>
          <w:bCs/>
        </w:rPr>
        <w:t>Bratislava-Petržalka</w:t>
      </w:r>
      <w:proofErr w:type="spellEnd"/>
      <w:r>
        <w:rPr>
          <w:b/>
          <w:bCs/>
        </w:rPr>
        <w:t xml:space="preserve"> k n</w:t>
      </w:r>
      <w:r w:rsidR="00183C4B">
        <w:rPr>
          <w:b/>
          <w:bCs/>
        </w:rPr>
        <w:t>ávrh</w:t>
      </w:r>
      <w:r w:rsidR="00915F96">
        <w:rPr>
          <w:b/>
          <w:bCs/>
        </w:rPr>
        <w:t xml:space="preserve"> </w:t>
      </w:r>
      <w:r w:rsidR="00DF015A">
        <w:rPr>
          <w:b/>
          <w:bCs/>
        </w:rPr>
        <w:t xml:space="preserve">rozdelenia </w:t>
      </w:r>
      <w:r w:rsidR="00183C4B">
        <w:rPr>
          <w:b/>
          <w:bCs/>
        </w:rPr>
        <w:t>Všeobecne záväzného nariadenia</w:t>
      </w:r>
      <w:r w:rsidR="00DF015A">
        <w:rPr>
          <w:b/>
          <w:bCs/>
        </w:rPr>
        <w:t xml:space="preserve"> č. 12/2019</w:t>
      </w:r>
      <w:r w:rsidR="00183C4B">
        <w:rPr>
          <w:b/>
          <w:bCs/>
        </w:rPr>
        <w:t xml:space="preserve"> </w:t>
      </w:r>
      <w:r w:rsidR="00915F96" w:rsidRPr="00915F96">
        <w:rPr>
          <w:rFonts w:eastAsiaTheme="minorHAnsi"/>
          <w:b/>
          <w:bCs/>
          <w:lang w:eastAsia="en-US"/>
        </w:rPr>
        <w:t xml:space="preserve">hlavného mesta Slovenskej republiky </w:t>
      </w:r>
      <w:r w:rsidR="00915F96">
        <w:rPr>
          <w:rFonts w:eastAsiaTheme="minorHAnsi"/>
          <w:b/>
          <w:bCs/>
          <w:lang w:eastAsia="en-US"/>
        </w:rPr>
        <w:t>B</w:t>
      </w:r>
      <w:r w:rsidR="00915F96" w:rsidRPr="00915F96">
        <w:rPr>
          <w:rFonts w:eastAsiaTheme="minorHAnsi"/>
          <w:b/>
          <w:bCs/>
          <w:lang w:eastAsia="en-US"/>
        </w:rPr>
        <w:t>ratislavy</w:t>
      </w:r>
      <w:r w:rsidR="00915F96">
        <w:rPr>
          <w:rFonts w:eastAsiaTheme="minorHAnsi"/>
          <w:b/>
          <w:bCs/>
          <w:lang w:eastAsia="en-US"/>
        </w:rPr>
        <w:t xml:space="preserve"> </w:t>
      </w:r>
      <w:r w:rsidR="00915F96" w:rsidRPr="00915F96">
        <w:rPr>
          <w:rFonts w:eastAsiaTheme="minorHAnsi"/>
          <w:b/>
          <w:bCs/>
          <w:lang w:eastAsia="en-US"/>
        </w:rPr>
        <w:t>o prevádzkovan</w:t>
      </w:r>
      <w:r w:rsidR="00E47DBE">
        <w:rPr>
          <w:rFonts w:eastAsiaTheme="minorHAnsi"/>
          <w:b/>
          <w:bCs/>
          <w:lang w:eastAsia="en-US"/>
        </w:rPr>
        <w:t>í</w:t>
      </w:r>
      <w:r w:rsidR="00915F96" w:rsidRPr="00915F96">
        <w:rPr>
          <w:rFonts w:eastAsiaTheme="minorHAnsi"/>
          <w:b/>
          <w:bCs/>
          <w:lang w:eastAsia="en-US"/>
        </w:rPr>
        <w:t xml:space="preserve"> hazardných hier </w:t>
      </w:r>
      <w:r w:rsidR="00915F96">
        <w:rPr>
          <w:rFonts w:eastAsiaTheme="minorHAnsi"/>
          <w:b/>
          <w:bCs/>
          <w:lang w:eastAsia="en-US"/>
        </w:rPr>
        <w:t>n</w:t>
      </w:r>
      <w:r w:rsidR="00915F96" w:rsidRPr="00915F96">
        <w:rPr>
          <w:rFonts w:eastAsiaTheme="minorHAnsi"/>
          <w:b/>
          <w:bCs/>
          <w:lang w:eastAsia="en-US"/>
        </w:rPr>
        <w:t>a území</w:t>
      </w:r>
      <w:r w:rsidR="00915F96">
        <w:rPr>
          <w:rFonts w:eastAsiaTheme="minorHAnsi"/>
          <w:b/>
          <w:bCs/>
          <w:lang w:eastAsia="en-US"/>
        </w:rPr>
        <w:t xml:space="preserve"> </w:t>
      </w:r>
      <w:r w:rsidR="00915F96" w:rsidRPr="00915F96">
        <w:rPr>
          <w:rFonts w:eastAsiaTheme="minorHAnsi"/>
          <w:b/>
          <w:bCs/>
          <w:lang w:eastAsia="en-US"/>
        </w:rPr>
        <w:t xml:space="preserve">hlavného mesta </w:t>
      </w:r>
      <w:r>
        <w:rPr>
          <w:rFonts w:eastAsiaTheme="minorHAnsi"/>
          <w:b/>
          <w:bCs/>
          <w:lang w:eastAsia="en-US"/>
        </w:rPr>
        <w:t>SR Br</w:t>
      </w:r>
      <w:r w:rsidR="00915F96" w:rsidRPr="00915F96">
        <w:rPr>
          <w:rFonts w:eastAsiaTheme="minorHAnsi"/>
          <w:b/>
          <w:bCs/>
          <w:lang w:eastAsia="en-US"/>
        </w:rPr>
        <w:t>atislavy</w:t>
      </w:r>
      <w:bookmarkEnd w:id="0"/>
    </w:p>
    <w:p w:rsidR="005D7C2F" w:rsidRDefault="005D7C2F" w:rsidP="005D7C2F">
      <w:pPr>
        <w:autoSpaceDE w:val="0"/>
        <w:autoSpaceDN w:val="0"/>
        <w:adjustRightInd w:val="0"/>
        <w:jc w:val="center"/>
        <w:rPr>
          <w:bCs/>
        </w:rPr>
      </w:pPr>
    </w:p>
    <w:p w:rsidR="00183C4B" w:rsidRDefault="00183C4B" w:rsidP="00F712BD">
      <w:pPr>
        <w:jc w:val="both"/>
        <w:rPr>
          <w:b/>
        </w:rPr>
      </w:pPr>
    </w:p>
    <w:p w:rsidR="00183C4B" w:rsidRDefault="00183C4B" w:rsidP="00F712BD">
      <w:pPr>
        <w:jc w:val="both"/>
        <w:rPr>
          <w:b/>
          <w:i/>
          <w:u w:val="single"/>
        </w:rPr>
      </w:pPr>
    </w:p>
    <w:p w:rsidR="00492F72" w:rsidRDefault="00183C4B" w:rsidP="00183C4B">
      <w:pPr>
        <w:jc w:val="both"/>
      </w:pPr>
      <w:r>
        <w:t xml:space="preserve">                                                                                              </w:t>
      </w:r>
    </w:p>
    <w:p w:rsidR="00183C4B" w:rsidRPr="005D7C2F" w:rsidRDefault="005D7C2F" w:rsidP="005D7C2F">
      <w:pPr>
        <w:jc w:val="both"/>
        <w:rPr>
          <w:b/>
        </w:rPr>
      </w:pPr>
      <w:r>
        <w:rPr>
          <w:b/>
        </w:rPr>
        <w:t>Predkladateľ:</w:t>
      </w:r>
      <w:r>
        <w:rPr>
          <w:b/>
        </w:rPr>
        <w:tab/>
      </w:r>
      <w:r>
        <w:rPr>
          <w:b/>
        </w:rPr>
        <w:tab/>
      </w:r>
      <w:r>
        <w:rPr>
          <w:b/>
        </w:rPr>
        <w:tab/>
      </w:r>
      <w:r>
        <w:rPr>
          <w:b/>
        </w:rPr>
        <w:tab/>
      </w:r>
      <w:r>
        <w:rPr>
          <w:b/>
        </w:rPr>
        <w:tab/>
      </w:r>
      <w:r w:rsidR="00183C4B" w:rsidRPr="005D7C2F">
        <w:rPr>
          <w:b/>
        </w:rPr>
        <w:t>Materiál obsahuje:</w:t>
      </w:r>
    </w:p>
    <w:p w:rsidR="00DC22E5" w:rsidRDefault="00DC22E5" w:rsidP="00DC22E5">
      <w:pPr>
        <w:jc w:val="both"/>
      </w:pPr>
      <w:r>
        <w:t>Ján Hrčka</w:t>
      </w:r>
      <w:r>
        <w:tab/>
      </w:r>
      <w:r>
        <w:tab/>
      </w:r>
      <w:r>
        <w:tab/>
      </w:r>
      <w:r>
        <w:tab/>
      </w:r>
      <w:r>
        <w:tab/>
      </w:r>
      <w:r>
        <w:tab/>
      </w:r>
      <w:r w:rsidR="00752BD7">
        <w:t>1.</w:t>
      </w:r>
      <w:r w:rsidR="00492F72">
        <w:t xml:space="preserve"> </w:t>
      </w:r>
      <w:r>
        <w:t>návrh uznesenia</w:t>
      </w:r>
    </w:p>
    <w:p w:rsidR="00DC22E5" w:rsidRDefault="00752BD7" w:rsidP="00752BD7">
      <w:pPr>
        <w:ind w:left="4248" w:firstLine="708"/>
      </w:pPr>
      <w:r>
        <w:t>2</w:t>
      </w:r>
      <w:r w:rsidR="00183C4B">
        <w:t xml:space="preserve">. </w:t>
      </w:r>
      <w:r w:rsidR="00C40D08">
        <w:t>list primátora</w:t>
      </w:r>
    </w:p>
    <w:p w:rsidR="00C40D08" w:rsidRDefault="00DC22E5" w:rsidP="00C40D08">
      <w:pPr>
        <w:ind w:left="4956"/>
      </w:pPr>
      <w:r>
        <w:t>3</w:t>
      </w:r>
      <w:r w:rsidR="00DF015A">
        <w:t xml:space="preserve">. </w:t>
      </w:r>
      <w:r w:rsidR="00C40D08">
        <w:t>dôvodová správa</w:t>
      </w:r>
    </w:p>
    <w:p w:rsidR="00DF015A" w:rsidRDefault="00DF015A" w:rsidP="00C40D08">
      <w:pPr>
        <w:ind w:left="4956"/>
      </w:pPr>
      <w:r>
        <w:t>4. návrhy VZN</w:t>
      </w:r>
    </w:p>
    <w:p w:rsidR="00752BD7" w:rsidRDefault="00C40D08" w:rsidP="00C40D08">
      <w:pPr>
        <w:ind w:left="4956"/>
      </w:pPr>
      <w:r>
        <w:t>4</w:t>
      </w:r>
      <w:r w:rsidR="00752BD7">
        <w:t xml:space="preserve">. </w:t>
      </w:r>
      <w:r>
        <w:t>s</w:t>
      </w:r>
      <w:r w:rsidR="00752BD7">
        <w:t xml:space="preserve">tanovisko </w:t>
      </w:r>
      <w:r w:rsidR="00DF015A">
        <w:t>MZ</w:t>
      </w:r>
      <w:r>
        <w:t xml:space="preserve"> MČ</w:t>
      </w:r>
      <w:r w:rsidR="00752BD7">
        <w:t xml:space="preserve"> Bratislava-</w:t>
      </w:r>
      <w:r w:rsidR="00C318A9">
        <w:t xml:space="preserve">              </w:t>
      </w:r>
      <w:r w:rsidR="00752BD7">
        <w:t>Petržalka</w:t>
      </w:r>
    </w:p>
    <w:p w:rsidR="00752BD7" w:rsidRDefault="00752BD7" w:rsidP="00183C4B"/>
    <w:p w:rsidR="00183C4B" w:rsidRDefault="00086500" w:rsidP="00492F72">
      <w:r>
        <w:tab/>
      </w:r>
      <w:r>
        <w:tab/>
      </w:r>
      <w:r>
        <w:tab/>
      </w:r>
      <w:r>
        <w:tab/>
      </w:r>
      <w:r>
        <w:tab/>
      </w:r>
      <w:r>
        <w:tab/>
      </w:r>
      <w:r>
        <w:tab/>
      </w:r>
      <w:r>
        <w:tab/>
      </w:r>
      <w:r w:rsidR="00183C4B">
        <w:t xml:space="preserve"> </w:t>
      </w:r>
    </w:p>
    <w:p w:rsidR="00183C4B" w:rsidRDefault="00183C4B" w:rsidP="00183C4B">
      <w:pPr>
        <w:jc w:val="both"/>
        <w:rPr>
          <w:b/>
          <w:i/>
          <w:u w:val="single"/>
        </w:rPr>
      </w:pPr>
    </w:p>
    <w:p w:rsidR="00183C4B" w:rsidRDefault="00183C4B" w:rsidP="00183C4B">
      <w:pPr>
        <w:jc w:val="both"/>
        <w:rPr>
          <w:b/>
          <w:i/>
          <w:u w:val="single"/>
        </w:rPr>
      </w:pPr>
    </w:p>
    <w:p w:rsidR="00183C4B" w:rsidRDefault="00183C4B" w:rsidP="00183C4B">
      <w:pPr>
        <w:jc w:val="both"/>
        <w:rPr>
          <w:b/>
          <w:i/>
          <w:u w:val="single"/>
        </w:rPr>
      </w:pPr>
    </w:p>
    <w:p w:rsidR="00183C4B" w:rsidRDefault="00183C4B" w:rsidP="00183C4B">
      <w:pPr>
        <w:jc w:val="both"/>
        <w:rPr>
          <w:b/>
          <w:i/>
          <w:u w:val="single"/>
        </w:rPr>
      </w:pPr>
    </w:p>
    <w:p w:rsidR="00183C4B" w:rsidRDefault="00183C4B" w:rsidP="00183C4B">
      <w:pPr>
        <w:jc w:val="both"/>
        <w:rPr>
          <w:b/>
          <w:i/>
          <w:u w:val="single"/>
        </w:rPr>
      </w:pPr>
    </w:p>
    <w:p w:rsidR="00183C4B" w:rsidRPr="00DC22E5" w:rsidRDefault="00DC22E5" w:rsidP="00183C4B">
      <w:pPr>
        <w:jc w:val="both"/>
      </w:pPr>
      <w:r w:rsidRPr="00DC22E5">
        <w:rPr>
          <w:b/>
        </w:rPr>
        <w:t>Zodpovedný:</w:t>
      </w:r>
    </w:p>
    <w:p w:rsidR="00183C4B" w:rsidRDefault="00DF015A" w:rsidP="00183C4B">
      <w:pPr>
        <w:jc w:val="both"/>
      </w:pPr>
      <w:r>
        <w:t>Petra Vančová</w:t>
      </w:r>
    </w:p>
    <w:p w:rsidR="00183C4B" w:rsidRDefault="00DC22E5" w:rsidP="00183C4B">
      <w:pPr>
        <w:jc w:val="both"/>
      </w:pPr>
      <w:r>
        <w:t>prednost</w:t>
      </w:r>
      <w:r w:rsidR="00DF015A">
        <w:t>k</w:t>
      </w:r>
      <w:r>
        <w:t>a</w:t>
      </w:r>
    </w:p>
    <w:p w:rsidR="00183C4B" w:rsidRDefault="00183C4B" w:rsidP="00183C4B">
      <w:pPr>
        <w:jc w:val="both"/>
        <w:rPr>
          <w:b/>
          <w:u w:val="single"/>
        </w:rPr>
      </w:pPr>
    </w:p>
    <w:p w:rsidR="00183C4B" w:rsidRDefault="00183C4B" w:rsidP="00183C4B">
      <w:pPr>
        <w:jc w:val="both"/>
        <w:rPr>
          <w:b/>
          <w:u w:val="single"/>
        </w:rPr>
      </w:pPr>
    </w:p>
    <w:p w:rsidR="00183C4B" w:rsidRDefault="00183C4B" w:rsidP="00183C4B">
      <w:pPr>
        <w:jc w:val="both"/>
        <w:rPr>
          <w:b/>
          <w:u w:val="single"/>
        </w:rPr>
      </w:pPr>
    </w:p>
    <w:p w:rsidR="00183C4B" w:rsidRDefault="00183C4B" w:rsidP="00183C4B">
      <w:pPr>
        <w:jc w:val="both"/>
        <w:rPr>
          <w:b/>
          <w:u w:val="single"/>
        </w:rPr>
      </w:pPr>
    </w:p>
    <w:p w:rsidR="00183C4B" w:rsidRPr="00DC22E5" w:rsidRDefault="00183C4B" w:rsidP="00183C4B">
      <w:pPr>
        <w:jc w:val="both"/>
        <w:rPr>
          <w:b/>
        </w:rPr>
      </w:pPr>
      <w:r w:rsidRPr="00DC22E5">
        <w:rPr>
          <w:b/>
        </w:rPr>
        <w:t>Spracovateľ:</w:t>
      </w:r>
    </w:p>
    <w:p w:rsidR="00086500" w:rsidRDefault="00086500" w:rsidP="00183C4B">
      <w:pPr>
        <w:jc w:val="both"/>
      </w:pPr>
      <w:r>
        <w:t>Emil Chlebec</w:t>
      </w:r>
    </w:p>
    <w:p w:rsidR="00183C4B" w:rsidRDefault="00DC22E5" w:rsidP="00183C4B">
      <w:pPr>
        <w:jc w:val="both"/>
      </w:pPr>
      <w:r>
        <w:t xml:space="preserve">vedúci </w:t>
      </w:r>
      <w:r w:rsidR="00183C4B">
        <w:t>referát</w:t>
      </w:r>
      <w:r>
        <w:t>u</w:t>
      </w:r>
      <w:r w:rsidR="00183C4B">
        <w:t xml:space="preserve"> predbežnej právnej ochrany</w:t>
      </w:r>
    </w:p>
    <w:p w:rsidR="00DC22E5" w:rsidRDefault="00DC22E5" w:rsidP="00183C4B">
      <w:pPr>
        <w:jc w:val="both"/>
      </w:pPr>
      <w:r>
        <w:t>a podnikateľských činností</w:t>
      </w:r>
    </w:p>
    <w:p w:rsidR="00DC22E5" w:rsidRDefault="00DC22E5" w:rsidP="00183C4B">
      <w:pPr>
        <w:jc w:val="both"/>
      </w:pPr>
    </w:p>
    <w:p w:rsidR="00327608" w:rsidRDefault="00327608" w:rsidP="00327608">
      <w:pPr>
        <w:pStyle w:val="Nzov"/>
        <w:jc w:val="both"/>
        <w:rPr>
          <w:b w:val="0"/>
        </w:rPr>
      </w:pPr>
      <w:r>
        <w:lastRenderedPageBreak/>
        <w:t>Návrh uznesenia k zaujatiu stanoviska MZ:</w:t>
      </w:r>
    </w:p>
    <w:p w:rsidR="00327608" w:rsidRDefault="00327608" w:rsidP="00327608">
      <w:pPr>
        <w:pStyle w:val="Nzov"/>
        <w:jc w:val="both"/>
        <w:rPr>
          <w:b w:val="0"/>
        </w:rPr>
      </w:pPr>
    </w:p>
    <w:p w:rsidR="00327608" w:rsidRDefault="00327608" w:rsidP="00327608">
      <w:pPr>
        <w:pStyle w:val="Nzov"/>
        <w:jc w:val="both"/>
        <w:rPr>
          <w:b w:val="0"/>
        </w:rPr>
      </w:pPr>
      <w:r>
        <w:rPr>
          <w:b w:val="0"/>
        </w:rPr>
        <w:t xml:space="preserve">Miestne zastupiteľstvo mestskej časti </w:t>
      </w:r>
      <w:proofErr w:type="spellStart"/>
      <w:r>
        <w:rPr>
          <w:b w:val="0"/>
        </w:rPr>
        <w:t>Bratislava-Petržalka</w:t>
      </w:r>
      <w:proofErr w:type="spellEnd"/>
    </w:p>
    <w:p w:rsidR="00327608" w:rsidRDefault="00327608" w:rsidP="00327608">
      <w:pPr>
        <w:pStyle w:val="Nzov"/>
        <w:jc w:val="both"/>
        <w:rPr>
          <w:b w:val="0"/>
        </w:rPr>
      </w:pPr>
    </w:p>
    <w:p w:rsidR="00327608" w:rsidRDefault="00327608" w:rsidP="00327608">
      <w:pPr>
        <w:pStyle w:val="Nzov"/>
        <w:jc w:val="both"/>
        <w:rPr>
          <w:b w:val="0"/>
        </w:rPr>
      </w:pPr>
      <w:r>
        <w:rPr>
          <w:b w:val="0"/>
        </w:rPr>
        <w:t>s c h v a ľ u j e</w:t>
      </w:r>
    </w:p>
    <w:p w:rsidR="00327608" w:rsidRDefault="00327608" w:rsidP="00327608">
      <w:pPr>
        <w:pStyle w:val="Nzov"/>
        <w:jc w:val="both"/>
        <w:rPr>
          <w:b w:val="0"/>
        </w:rPr>
      </w:pPr>
    </w:p>
    <w:p w:rsidR="00B25D83" w:rsidRDefault="00327608" w:rsidP="00B25D83">
      <w:pPr>
        <w:autoSpaceDE w:val="0"/>
        <w:autoSpaceDN w:val="0"/>
        <w:adjustRightInd w:val="0"/>
        <w:ind w:firstLine="708"/>
        <w:jc w:val="both"/>
        <w:rPr>
          <w:rFonts w:eastAsiaTheme="minorHAnsi"/>
          <w:bCs/>
          <w:lang w:eastAsia="en-US"/>
        </w:rPr>
      </w:pPr>
      <w:r w:rsidRPr="002153B6">
        <w:t xml:space="preserve">predložený návrh Stanoviska </w:t>
      </w:r>
      <w:r w:rsidR="00C40D08" w:rsidRPr="002153B6">
        <w:t xml:space="preserve">miestneho zastupiteľstva </w:t>
      </w:r>
      <w:r w:rsidRPr="002153B6">
        <w:t xml:space="preserve">mestskej časti </w:t>
      </w:r>
      <w:proofErr w:type="spellStart"/>
      <w:r w:rsidRPr="002153B6">
        <w:t>Bratislava-Petržalka</w:t>
      </w:r>
      <w:proofErr w:type="spellEnd"/>
      <w:r w:rsidR="002153B6" w:rsidRPr="002153B6">
        <w:t xml:space="preserve">, ktorým </w:t>
      </w:r>
      <w:r w:rsidR="002153B6" w:rsidRPr="002153B6">
        <w:rPr>
          <w:rFonts w:eastAsia="Calibri"/>
          <w:bCs/>
          <w:lang w:eastAsia="en-US"/>
        </w:rPr>
        <w:t xml:space="preserve">Miestne zastupiteľstvo mestskej časti </w:t>
      </w:r>
      <w:proofErr w:type="spellStart"/>
      <w:r w:rsidR="002153B6" w:rsidRPr="002153B6">
        <w:rPr>
          <w:rFonts w:eastAsia="Calibri"/>
          <w:bCs/>
          <w:lang w:eastAsia="en-US"/>
        </w:rPr>
        <w:t>Bratislava-Petržalka</w:t>
      </w:r>
      <w:proofErr w:type="spellEnd"/>
      <w:r w:rsidR="002153B6" w:rsidRPr="002153B6">
        <w:rPr>
          <w:rFonts w:eastAsia="Calibri"/>
          <w:bCs/>
          <w:lang w:eastAsia="en-US"/>
        </w:rPr>
        <w:t xml:space="preserve"> na svojom zasadnutí dňa 16. septembra 2020 prijalo uznesenie, ktorým vyjadruje súhlas s rozdelením </w:t>
      </w:r>
      <w:r w:rsidR="002153B6" w:rsidRPr="002153B6">
        <w:rPr>
          <w:bCs/>
        </w:rPr>
        <w:t xml:space="preserve">Všeobecne záväzného nariadenia </w:t>
      </w:r>
      <w:r w:rsidR="002153B6" w:rsidRPr="002153B6">
        <w:rPr>
          <w:rFonts w:eastAsia="Calibri"/>
          <w:bCs/>
          <w:lang w:eastAsia="en-US"/>
        </w:rPr>
        <w:t>hlavného mesta Slovenskej republiky Bratislavy č. 12/2019 zo dňa 24. 10. 2019 o prevádzkovaní hazardných hier na území hlavného mesta Slovenskej republiky Bratislavy na dve všeobecne záväzné nariadenia tak, ako je uvedené v predloženom návrhu hlavného mesta Slovenskej republiky Bratislavy</w:t>
      </w:r>
      <w:r w:rsidR="00B25D83">
        <w:rPr>
          <w:rFonts w:eastAsia="Calibri"/>
          <w:b/>
          <w:bCs/>
          <w:lang w:eastAsia="en-US"/>
        </w:rPr>
        <w:t xml:space="preserve"> </w:t>
      </w:r>
      <w:r w:rsidR="00B25D83">
        <w:rPr>
          <w:rFonts w:eastAsiaTheme="minorHAnsi"/>
          <w:bCs/>
          <w:lang w:eastAsia="en-US"/>
        </w:rPr>
        <w:t>“) a to:</w:t>
      </w:r>
    </w:p>
    <w:p w:rsidR="00B25D83" w:rsidRDefault="00B25D83" w:rsidP="00B25D83">
      <w:pPr>
        <w:autoSpaceDE w:val="0"/>
        <w:autoSpaceDN w:val="0"/>
        <w:adjustRightInd w:val="0"/>
        <w:ind w:firstLine="708"/>
        <w:jc w:val="both"/>
        <w:rPr>
          <w:rFonts w:eastAsiaTheme="minorHAnsi"/>
          <w:bCs/>
          <w:lang w:eastAsia="en-US"/>
        </w:rPr>
      </w:pPr>
    </w:p>
    <w:p w:rsidR="00B25D83" w:rsidRDefault="00B25D83" w:rsidP="00B25D83">
      <w:pPr>
        <w:pStyle w:val="Odsekzoznamu"/>
        <w:numPr>
          <w:ilvl w:val="0"/>
          <w:numId w:val="22"/>
        </w:numPr>
        <w:autoSpaceDE w:val="0"/>
        <w:autoSpaceDN w:val="0"/>
        <w:adjustRightInd w:val="0"/>
        <w:jc w:val="both"/>
        <w:rPr>
          <w:rFonts w:eastAsiaTheme="minorHAnsi"/>
          <w:bCs/>
          <w:lang w:eastAsia="en-US"/>
        </w:rPr>
      </w:pPr>
      <w:r>
        <w:rPr>
          <w:rFonts w:eastAsiaTheme="minorHAnsi"/>
          <w:bCs/>
          <w:lang w:eastAsia="en-US"/>
        </w:rPr>
        <w:t>Všeobecne záväzné nariadenie o zákaze prevádzkovania hazardných hier na území hlavného mesta Slovenskej republiky Bratislavy (§ 14 ods. 11) o zákaze prevádzkovania hazardných hier počas dní ustanovených týmto všeobecne záväzným nariadením</w:t>
      </w:r>
    </w:p>
    <w:p w:rsidR="00B25D83" w:rsidRDefault="00B25D83" w:rsidP="00B25D83">
      <w:pPr>
        <w:pStyle w:val="Odsekzoznamu"/>
        <w:numPr>
          <w:ilvl w:val="0"/>
          <w:numId w:val="22"/>
        </w:numPr>
        <w:autoSpaceDE w:val="0"/>
        <w:autoSpaceDN w:val="0"/>
        <w:adjustRightInd w:val="0"/>
        <w:jc w:val="both"/>
        <w:rPr>
          <w:rFonts w:eastAsiaTheme="minorHAnsi"/>
          <w:bCs/>
          <w:lang w:eastAsia="en-US"/>
        </w:rPr>
      </w:pPr>
      <w:r>
        <w:rPr>
          <w:rFonts w:eastAsiaTheme="minorHAnsi"/>
          <w:bCs/>
          <w:lang w:eastAsia="en-US"/>
        </w:rPr>
        <w:t>Všeobecne záväzné nariadenie o podmienkach umiestňovania herní na území hlavného mesta Slovenskej republiky Bratislavy podľa § 15 ods. 5 a                         § 15 ods. 16 zákona o hazardných hrách.</w:t>
      </w:r>
    </w:p>
    <w:p w:rsidR="002153B6" w:rsidRPr="002153B6" w:rsidRDefault="002153B6" w:rsidP="00327608">
      <w:pPr>
        <w:pStyle w:val="Nzov"/>
        <w:jc w:val="both"/>
        <w:rPr>
          <w:b w:val="0"/>
        </w:rPr>
      </w:pPr>
      <w:r w:rsidRPr="002153B6">
        <w:rPr>
          <w:rFonts w:eastAsia="Calibri"/>
          <w:b w:val="0"/>
          <w:bCs/>
          <w:lang w:eastAsia="en-US"/>
        </w:rPr>
        <w:t>.</w:t>
      </w:r>
    </w:p>
    <w:p w:rsidR="002153B6" w:rsidRDefault="002153B6" w:rsidP="00327608">
      <w:pPr>
        <w:pStyle w:val="Nzov"/>
        <w:jc w:val="both"/>
        <w:rPr>
          <w:b w:val="0"/>
        </w:rPr>
      </w:pPr>
    </w:p>
    <w:p w:rsidR="002153B6" w:rsidRDefault="002153B6" w:rsidP="00327608">
      <w:pPr>
        <w:pStyle w:val="Nzov"/>
        <w:jc w:val="both"/>
        <w:rPr>
          <w:b w:val="0"/>
        </w:rPr>
      </w:pPr>
    </w:p>
    <w:p w:rsidR="002153B6" w:rsidRDefault="002153B6" w:rsidP="00327608">
      <w:pPr>
        <w:pStyle w:val="Nzov"/>
        <w:jc w:val="both"/>
        <w:rPr>
          <w:b w:val="0"/>
        </w:rPr>
      </w:pPr>
    </w:p>
    <w:p w:rsidR="002153B6" w:rsidRDefault="002153B6" w:rsidP="00327608">
      <w:pPr>
        <w:pStyle w:val="Nzov"/>
        <w:jc w:val="both"/>
        <w:rPr>
          <w:b w:val="0"/>
        </w:rPr>
      </w:pPr>
    </w:p>
    <w:p w:rsidR="00327608" w:rsidRPr="00915F96" w:rsidRDefault="00327608" w:rsidP="00327608">
      <w:pPr>
        <w:pStyle w:val="Nzov"/>
        <w:jc w:val="both"/>
        <w:rPr>
          <w:b w:val="0"/>
        </w:rPr>
      </w:pPr>
      <w:r>
        <w:rPr>
          <w:b w:val="0"/>
        </w:rPr>
        <w:t xml:space="preserve"> </w:t>
      </w:r>
      <w:r w:rsidR="00C40D08">
        <w:rPr>
          <w:b w:val="0"/>
        </w:rPr>
        <w:t xml:space="preserve">          </w:t>
      </w:r>
    </w:p>
    <w:p w:rsidR="00E47DBE" w:rsidRPr="00E47DBE" w:rsidRDefault="00E47DBE" w:rsidP="00E47DBE">
      <w:pPr>
        <w:autoSpaceDE w:val="0"/>
        <w:autoSpaceDN w:val="0"/>
        <w:adjustRightInd w:val="0"/>
        <w:jc w:val="both"/>
        <w:rPr>
          <w:rFonts w:eastAsiaTheme="minorHAnsi"/>
          <w:bCs/>
          <w:lang w:eastAsia="en-US"/>
        </w:rPr>
      </w:pPr>
      <w:r>
        <w:rPr>
          <w:rFonts w:eastAsiaTheme="minorHAnsi"/>
          <w:bCs/>
          <w:lang w:eastAsia="en-US"/>
        </w:rPr>
        <w:t xml:space="preserve">   </w:t>
      </w:r>
      <w:r w:rsidRPr="00E47DBE">
        <w:rPr>
          <w:rFonts w:eastAsiaTheme="minorHAnsi"/>
          <w:bCs/>
          <w:lang w:eastAsia="en-US"/>
        </w:rPr>
        <w:t xml:space="preserve"> </w:t>
      </w: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E47DBE" w:rsidRDefault="00E47DBE" w:rsidP="00492F72">
      <w:pPr>
        <w:autoSpaceDE w:val="0"/>
        <w:autoSpaceDN w:val="0"/>
        <w:adjustRightInd w:val="0"/>
        <w:jc w:val="center"/>
        <w:rPr>
          <w:rFonts w:eastAsiaTheme="minorHAnsi"/>
          <w:b/>
          <w:bCs/>
          <w:sz w:val="28"/>
          <w:szCs w:val="28"/>
          <w:lang w:eastAsia="en-US"/>
        </w:rPr>
      </w:pPr>
    </w:p>
    <w:p w:rsidR="00C40D08" w:rsidRDefault="00C40D08" w:rsidP="00492F72">
      <w:pPr>
        <w:autoSpaceDE w:val="0"/>
        <w:autoSpaceDN w:val="0"/>
        <w:adjustRightInd w:val="0"/>
        <w:jc w:val="center"/>
        <w:rPr>
          <w:rFonts w:eastAsiaTheme="minorHAnsi"/>
          <w:b/>
          <w:bCs/>
          <w:sz w:val="28"/>
          <w:szCs w:val="28"/>
          <w:lang w:eastAsia="en-US"/>
        </w:rPr>
      </w:pPr>
    </w:p>
    <w:p w:rsidR="00C40D08" w:rsidRDefault="00C40D08" w:rsidP="00492F72">
      <w:pPr>
        <w:autoSpaceDE w:val="0"/>
        <w:autoSpaceDN w:val="0"/>
        <w:adjustRightInd w:val="0"/>
        <w:jc w:val="center"/>
        <w:rPr>
          <w:rFonts w:eastAsiaTheme="minorHAnsi"/>
          <w:b/>
          <w:bCs/>
          <w:sz w:val="28"/>
          <w:szCs w:val="28"/>
          <w:lang w:eastAsia="en-US"/>
        </w:rPr>
      </w:pPr>
    </w:p>
    <w:p w:rsidR="008F22FB" w:rsidRDefault="008F22FB" w:rsidP="00492F72">
      <w:pPr>
        <w:autoSpaceDE w:val="0"/>
        <w:autoSpaceDN w:val="0"/>
        <w:adjustRightInd w:val="0"/>
        <w:jc w:val="center"/>
        <w:rPr>
          <w:rFonts w:eastAsiaTheme="minorHAnsi"/>
          <w:b/>
          <w:bCs/>
          <w:sz w:val="28"/>
          <w:szCs w:val="28"/>
          <w:lang w:eastAsia="en-US"/>
        </w:rPr>
      </w:pPr>
    </w:p>
    <w:p w:rsidR="008F22FB" w:rsidRDefault="008F22FB" w:rsidP="008F22FB">
      <w:pPr>
        <w:pStyle w:val="Zkladntext30"/>
        <w:rPr>
          <w:color w:val="000000"/>
          <w:lang w:eastAsia="sk-SK" w:bidi="sk-SK"/>
        </w:rPr>
      </w:pPr>
    </w:p>
    <w:p w:rsidR="008F22FB" w:rsidRDefault="008F22FB" w:rsidP="008F22FB">
      <w:pPr>
        <w:pStyle w:val="Zkladntext30"/>
      </w:pPr>
      <w:r>
        <w:rPr>
          <w:noProof/>
          <w:lang w:eastAsia="sk-SK"/>
        </w:rPr>
        <w:lastRenderedPageBreak/>
        <w:drawing>
          <wp:anchor distT="0" distB="0" distL="114300" distR="114300" simplePos="0" relativeHeight="251659264" behindDoc="0" locked="0" layoutInCell="1" allowOverlap="1" wp14:anchorId="3F076D5C" wp14:editId="1AFB4781">
            <wp:simplePos x="0" y="0"/>
            <wp:positionH relativeFrom="page">
              <wp:posOffset>2223770</wp:posOffset>
            </wp:positionH>
            <wp:positionV relativeFrom="paragraph">
              <wp:posOffset>12700</wp:posOffset>
            </wp:positionV>
            <wp:extent cx="688975" cy="829310"/>
            <wp:effectExtent l="0" t="0" r="0" b="0"/>
            <wp:wrapSquare wrapText="right"/>
            <wp:docPr id="8"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688975" cy="829310"/>
                    </a:xfrm>
                    <a:prstGeom prst="rect">
                      <a:avLst/>
                    </a:prstGeom>
                  </pic:spPr>
                </pic:pic>
              </a:graphicData>
            </a:graphic>
          </wp:anchor>
        </w:drawing>
      </w:r>
      <w:r>
        <w:rPr>
          <w:noProof/>
          <w:lang w:eastAsia="sk-SK"/>
        </w:rPr>
        <mc:AlternateContent>
          <mc:Choice Requires="wps">
            <w:drawing>
              <wp:anchor distT="0" distB="1024255" distL="513715" distR="912495" simplePos="0" relativeHeight="251660288" behindDoc="0" locked="0" layoutInCell="1" allowOverlap="1" wp14:anchorId="34F2D49D" wp14:editId="62D36014">
                <wp:simplePos x="0" y="0"/>
                <wp:positionH relativeFrom="page">
                  <wp:posOffset>4814570</wp:posOffset>
                </wp:positionH>
                <wp:positionV relativeFrom="paragraph">
                  <wp:posOffset>673100</wp:posOffset>
                </wp:positionV>
                <wp:extent cx="1621790" cy="216535"/>
                <wp:effectExtent l="0" t="0" r="0" b="0"/>
                <wp:wrapSquare wrapText="bothSides"/>
                <wp:docPr id="1" name="Shape 3"/>
                <wp:cNvGraphicFramePr/>
                <a:graphic xmlns:a="http://schemas.openxmlformats.org/drawingml/2006/main">
                  <a:graphicData uri="http://schemas.microsoft.com/office/word/2010/wordprocessingShape">
                    <wps:wsp>
                      <wps:cNvSpPr txBox="1"/>
                      <wps:spPr>
                        <a:xfrm>
                          <a:off x="0" y="0"/>
                          <a:ext cx="1621790" cy="216535"/>
                        </a:xfrm>
                        <a:prstGeom prst="rect">
                          <a:avLst/>
                        </a:prstGeom>
                        <a:noFill/>
                      </wps:spPr>
                      <wps:txbx>
                        <w:txbxContent>
                          <w:p w:rsidR="008F22FB" w:rsidRDefault="008F22FB" w:rsidP="008F22FB">
                            <w:pPr>
                              <w:pStyle w:val="Zkladntext40"/>
                            </w:pPr>
                            <w:r>
                              <w:rPr>
                                <w:color w:val="000000"/>
                                <w:sz w:val="19"/>
                                <w:szCs w:val="19"/>
                                <w:lang w:eastAsia="sk-SK" w:bidi="sk-SK"/>
                              </w:rPr>
                              <w:t xml:space="preserve">Došlo dňa: </w:t>
                            </w:r>
                            <w:r>
                              <w:rPr>
                                <w:color w:val="000000"/>
                                <w:lang w:eastAsia="sk-SK" w:bidi="sk-SK"/>
                              </w:rPr>
                              <w:t>3 0 -06- 2020</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79.1pt;margin-top:53pt;width:127.7pt;height:17.05pt;z-index:251660288;visibility:visible;mso-wrap-style:none;mso-wrap-distance-left:40.45pt;mso-wrap-distance-top:0;mso-wrap-distance-right:71.85pt;mso-wrap-distance-bottom:80.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" filled="f" stroked="f">
                <v:textbox inset="0,0,0,0">
                  <w:txbxContent>
                    <w:p w:rsidR="008F22FB" w:rsidRDefault="008F22FB" w:rsidP="008F22FB">
                      <w:pPr>
                        <w:pStyle w:val="Zkladntext40"/>
                      </w:pPr>
                      <w:r>
                        <w:rPr>
                          <w:color w:val="000000"/>
                          <w:sz w:val="19"/>
                          <w:szCs w:val="19"/>
                          <w:lang w:eastAsia="sk-SK" w:bidi="sk-SK"/>
                        </w:rPr>
                        <w:t xml:space="preserve">Došlo dňa: </w:t>
                      </w:r>
                      <w:r>
                        <w:rPr>
                          <w:color w:val="000000"/>
                          <w:lang w:eastAsia="sk-SK" w:bidi="sk-SK"/>
                        </w:rPr>
                        <w:t>3 0 -06- 2020</w:t>
                      </w:r>
                    </w:p>
                  </w:txbxContent>
                </v:textbox>
                <w10:wrap type="square" anchorx="page"/>
              </v:shape>
            </w:pict>
          </mc:Fallback>
        </mc:AlternateContent>
      </w:r>
      <w:r>
        <w:rPr>
          <w:noProof/>
          <w:lang w:eastAsia="sk-SK"/>
        </w:rPr>
        <w:drawing>
          <wp:anchor distT="231775" distB="225425" distL="351790" distR="114300" simplePos="0" relativeHeight="251661312" behindDoc="0" locked="0" layoutInCell="1" allowOverlap="1" wp14:anchorId="6219BF52" wp14:editId="10CDA7C0">
            <wp:simplePos x="0" y="0"/>
            <wp:positionH relativeFrom="page">
              <wp:posOffset>4652645</wp:posOffset>
            </wp:positionH>
            <wp:positionV relativeFrom="paragraph">
              <wp:posOffset>904875</wp:posOffset>
            </wp:positionV>
            <wp:extent cx="2584450" cy="786130"/>
            <wp:effectExtent l="0" t="0" r="0" b="0"/>
            <wp:wrapSquare wrapText="bothSides"/>
            <wp:docPr id="10"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2584450" cy="786130"/>
                    </a:xfrm>
                    <a:prstGeom prst="rect">
                      <a:avLst/>
                    </a:prstGeom>
                  </pic:spPr>
                </pic:pic>
              </a:graphicData>
            </a:graphic>
          </wp:anchor>
        </w:drawing>
      </w:r>
      <w:r>
        <w:rPr>
          <w:noProof/>
          <w:lang w:eastAsia="sk-SK"/>
        </w:rPr>
        <mc:AlternateContent>
          <mc:Choice Requires="wps">
            <w:drawing>
              <wp:anchor distT="0" distB="0" distL="0" distR="0" simplePos="0" relativeHeight="251664384" behindDoc="0" locked="0" layoutInCell="1" allowOverlap="1" wp14:anchorId="3CA92700" wp14:editId="4049F1F5">
                <wp:simplePos x="0" y="0"/>
                <wp:positionH relativeFrom="page">
                  <wp:posOffset>4415155</wp:posOffset>
                </wp:positionH>
                <wp:positionV relativeFrom="paragraph">
                  <wp:posOffset>1731010</wp:posOffset>
                </wp:positionV>
                <wp:extent cx="1536065" cy="182880"/>
                <wp:effectExtent l="0" t="0" r="0" b="0"/>
                <wp:wrapNone/>
                <wp:docPr id="2" name="Shape 7"/>
                <wp:cNvGraphicFramePr/>
                <a:graphic xmlns:a="http://schemas.openxmlformats.org/drawingml/2006/main">
                  <a:graphicData uri="http://schemas.microsoft.com/office/word/2010/wordprocessingShape">
                    <wps:wsp>
                      <wps:cNvSpPr txBox="1"/>
                      <wps:spPr>
                        <a:xfrm>
                          <a:off x="0" y="0"/>
                          <a:ext cx="1536065" cy="182880"/>
                        </a:xfrm>
                        <a:prstGeom prst="rect">
                          <a:avLst/>
                        </a:prstGeom>
                        <a:noFill/>
                      </wps:spPr>
                      <wps:txbx>
                        <w:txbxContent>
                          <w:p w:rsidR="008F22FB" w:rsidRDefault="008F22FB" w:rsidP="008F22FB">
                            <w:pPr>
                              <w:pStyle w:val="Nzovobrzka0"/>
                            </w:pPr>
                            <w:r>
                              <w:rPr>
                                <w:color w:val="000000"/>
                                <w:lang w:eastAsia="sk-SK" w:bidi="sk-SK"/>
                              </w:rPr>
                              <w:t>Bratislava 23. júna 2020</w:t>
                            </w:r>
                          </w:p>
                        </w:txbxContent>
                      </wps:txbx>
                      <wps:bodyPr lIns="0" tIns="0" rIns="0" bIns="0"/>
                    </wps:wsp>
                  </a:graphicData>
                </a:graphic>
              </wp:anchor>
            </w:drawing>
          </mc:Choice>
          <mc:Fallback>
            <w:pict>
              <v:shape id="Shape 7" o:spid="_x0000_s1027" type="#_x0000_t202" style="position:absolute;left:0;text-align:left;margin-left:347.65pt;margin-top:136.3pt;width:120.95pt;height:14.4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" filled="f" stroked="f">
                <v:textbox inset="0,0,0,0">
                  <w:txbxContent>
                    <w:p w:rsidR="008F22FB" w:rsidRDefault="008F22FB" w:rsidP="008F22FB">
                      <w:pPr>
                        <w:pStyle w:val="Nzovobrzka0"/>
                      </w:pPr>
                      <w:r>
                        <w:rPr>
                          <w:color w:val="000000"/>
                          <w:lang w:eastAsia="sk-SK" w:bidi="sk-SK"/>
                        </w:rPr>
                        <w:t>Bratislava 23. júna 2020</w:t>
                      </w:r>
                    </w:p>
                  </w:txbxContent>
                </v:textbox>
                <w10:wrap anchorx="page"/>
              </v:shape>
            </w:pict>
          </mc:Fallback>
        </mc:AlternateContent>
      </w:r>
      <w:r>
        <w:rPr>
          <w:color w:val="000000"/>
          <w:lang w:eastAsia="sk-SK" w:bidi="sk-SK"/>
        </w:rPr>
        <w:t>Miestny úrad mestskej časti</w:t>
      </w:r>
      <w:r>
        <w:rPr>
          <w:color w:val="000000"/>
          <w:lang w:eastAsia="sk-SK" w:bidi="sk-SK"/>
        </w:rPr>
        <w:br/>
      </w:r>
      <w:proofErr w:type="spellStart"/>
      <w:r>
        <w:rPr>
          <w:color w:val="000000"/>
          <w:lang w:eastAsia="sk-SK" w:bidi="sk-SK"/>
        </w:rPr>
        <w:t>Bratislava-Petržalka</w:t>
      </w:r>
      <w:proofErr w:type="spellEnd"/>
      <w:r>
        <w:rPr>
          <w:color w:val="000000"/>
          <w:lang w:eastAsia="sk-SK" w:bidi="sk-SK"/>
        </w:rPr>
        <w:br/>
      </w:r>
      <w:proofErr w:type="spellStart"/>
      <w:r>
        <w:rPr>
          <w:i/>
          <w:iCs/>
          <w:color w:val="000000"/>
          <w:lang w:eastAsia="sk-SK" w:bidi="sk-SK"/>
        </w:rPr>
        <w:t>Kutlíkova</w:t>
      </w:r>
      <w:proofErr w:type="spellEnd"/>
      <w:r>
        <w:rPr>
          <w:color w:val="000000"/>
          <w:u w:val="single"/>
          <w:lang w:eastAsia="sk-SK" w:bidi="sk-SK"/>
        </w:rPr>
        <w:t xml:space="preserve"> </w:t>
      </w:r>
      <w:r>
        <w:rPr>
          <w:color w:val="000000"/>
          <w:lang w:eastAsia="sk-SK" w:bidi="sk-SK"/>
        </w:rPr>
        <w:t>17, PSČ</w:t>
      </w:r>
      <w:r>
        <w:rPr>
          <w:color w:val="000000"/>
          <w:u w:val="single"/>
          <w:lang w:eastAsia="sk-SK" w:bidi="sk-SK"/>
        </w:rPr>
        <w:t xml:space="preserve"> </w:t>
      </w:r>
      <w:r>
        <w:rPr>
          <w:color w:val="000000"/>
          <w:lang w:eastAsia="sk-SK" w:bidi="sk-SK"/>
        </w:rPr>
        <w:t>852 12</w:t>
      </w:r>
    </w:p>
    <w:p w:rsidR="008F22FB" w:rsidRDefault="008F22FB" w:rsidP="008F22FB">
      <w:pPr>
        <w:pStyle w:val="Zkladntext1"/>
        <w:spacing w:after="0" w:line="240" w:lineRule="auto"/>
        <w:ind w:left="1540"/>
      </w:pPr>
      <w:r>
        <w:rPr>
          <w:b/>
          <w:bCs/>
          <w:color w:val="000000"/>
          <w:lang w:eastAsia="sk-SK" w:bidi="sk-SK"/>
        </w:rPr>
        <w:t xml:space="preserve">Matúš </w:t>
      </w:r>
      <w:r>
        <w:rPr>
          <w:b/>
          <w:bCs/>
          <w:color w:val="000000"/>
          <w:lang w:val="es-ES" w:eastAsia="es-ES" w:bidi="es-ES"/>
        </w:rPr>
        <w:t>Vallo</w:t>
      </w:r>
    </w:p>
    <w:p w:rsidR="008F22FB" w:rsidRDefault="008F22FB" w:rsidP="008F22FB">
      <w:pPr>
        <w:pStyle w:val="Zkladntext1"/>
        <w:spacing w:after="0" w:line="240" w:lineRule="auto"/>
        <w:ind w:left="1740"/>
      </w:pPr>
      <w:r>
        <w:rPr>
          <w:color w:val="000000"/>
          <w:lang w:eastAsia="sk-SK" w:bidi="sk-SK"/>
        </w:rPr>
        <w:t>primátor</w:t>
      </w:r>
    </w:p>
    <w:p w:rsidR="008F22FB" w:rsidRDefault="008F22FB" w:rsidP="008F22FB">
      <w:pPr>
        <w:pStyle w:val="Zkladntext1"/>
        <w:spacing w:after="0" w:line="230" w:lineRule="auto"/>
      </w:pPr>
      <w:r>
        <w:rPr>
          <w:color w:val="000000"/>
          <w:lang w:eastAsia="sk-SK" w:bidi="sk-SK"/>
        </w:rPr>
        <w:t>HLAVNÉ MESTO SLOVENSKEJ REPUBLIKY</w:t>
      </w:r>
    </w:p>
    <w:p w:rsidR="008F22FB" w:rsidRDefault="008F22FB" w:rsidP="008F22FB">
      <w:pPr>
        <w:pStyle w:val="Zkladntext1"/>
        <w:spacing w:after="100" w:line="240" w:lineRule="auto"/>
        <w:ind w:left="1440"/>
      </w:pPr>
      <w:r>
        <w:rPr>
          <w:noProof/>
          <w:lang w:eastAsia="sk-SK"/>
        </w:rPr>
        <mc:AlternateContent>
          <mc:Choice Requires="wps">
            <w:drawing>
              <wp:anchor distT="0" distB="177800" distL="114300" distR="114300" simplePos="0" relativeHeight="251662336" behindDoc="0" locked="0" layoutInCell="1" allowOverlap="1" wp14:anchorId="6FD41E5D" wp14:editId="379DD83C">
                <wp:simplePos x="0" y="0"/>
                <wp:positionH relativeFrom="page">
                  <wp:posOffset>2867025</wp:posOffset>
                </wp:positionH>
                <wp:positionV relativeFrom="paragraph">
                  <wp:posOffset>254000</wp:posOffset>
                </wp:positionV>
                <wp:extent cx="1444625" cy="42354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444625" cy="423545"/>
                        </a:xfrm>
                        <a:prstGeom prst="rect">
                          <a:avLst/>
                        </a:prstGeom>
                        <a:noFill/>
                      </wps:spPr>
                      <wps:txbx>
                        <w:txbxContent>
                          <w:p w:rsidR="008F22FB" w:rsidRDefault="008F22FB" w:rsidP="008F22FB">
                            <w:pPr>
                              <w:pStyle w:val="Zkladntext50"/>
                            </w:pPr>
                            <w:r>
                              <w:rPr>
                                <w:color w:val="000000"/>
                                <w:lang w:eastAsia="sk-SK" w:bidi="sk-SK"/>
                              </w:rPr>
                              <w:t>„POŠTOU</w:t>
                            </w:r>
                          </w:p>
                        </w:txbxContent>
                      </wps:txbx>
                      <wps:bodyPr wrap="none" lIns="0" tIns="0" rIns="0" bIns="0"/>
                    </wps:wsp>
                  </a:graphicData>
                </a:graphic>
              </wp:anchor>
            </w:drawing>
          </mc:Choice>
          <mc:Fallback>
            <w:pict>
              <v:shape id="Shape 9" o:spid="_x0000_s1028" type="#_x0000_t202" style="position:absolute;left:0;text-align:left;margin-left:225.75pt;margin-top:20pt;width:113.75pt;height:33.35pt;z-index:251662336;visibility:visible;mso-wrap-style:none;mso-wrap-distance-left:9pt;mso-wrap-distance-top:0;mso-wrap-distance-right:9pt;mso-wrap-distance-bottom: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" filled="f" stroked="f">
                <v:textbox inset="0,0,0,0">
                  <w:txbxContent>
                    <w:p w:rsidR="008F22FB" w:rsidRDefault="008F22FB" w:rsidP="008F22FB">
                      <w:pPr>
                        <w:pStyle w:val="Zkladntext50"/>
                      </w:pPr>
                      <w:r>
                        <w:rPr>
                          <w:color w:val="000000"/>
                          <w:lang w:eastAsia="sk-SK" w:bidi="sk-SK"/>
                        </w:rPr>
                        <w:t>„POŠTOU</w:t>
                      </w:r>
                    </w:p>
                  </w:txbxContent>
                </v:textbox>
                <w10:wrap type="topAndBottom" anchorx="page"/>
              </v:shape>
            </w:pict>
          </mc:Fallback>
        </mc:AlternateContent>
      </w:r>
      <w:r>
        <w:rPr>
          <w:color w:val="000000"/>
          <w:lang w:eastAsia="sk-SK" w:bidi="sk-SK"/>
        </w:rPr>
        <w:t>BRATISLAVA</w:t>
      </w:r>
    </w:p>
    <w:p w:rsidR="008F22FB" w:rsidRDefault="008F22FB" w:rsidP="008F22FB">
      <w:pPr>
        <w:pStyle w:val="Zkladntext1"/>
        <w:spacing w:before="100" w:after="0" w:line="389" w:lineRule="auto"/>
      </w:pPr>
      <w:r>
        <w:rPr>
          <w:color w:val="000000"/>
          <w:lang w:eastAsia="sk-SK" w:bidi="sk-SK"/>
        </w:rPr>
        <w:t>Vážená pani starostka, vážený pán starosta,</w:t>
      </w:r>
    </w:p>
    <w:p w:rsidR="008F22FB" w:rsidRDefault="008F22FB" w:rsidP="008F22FB">
      <w:pPr>
        <w:pStyle w:val="Zkladntext1"/>
        <w:spacing w:after="0" w:line="389" w:lineRule="auto"/>
        <w:ind w:firstLine="720"/>
        <w:jc w:val="both"/>
      </w:pPr>
      <w:r>
        <w:rPr>
          <w:color w:val="000000"/>
          <w:lang w:eastAsia="sk-SK" w:bidi="sk-SK"/>
        </w:rPr>
        <w:t>v súvislosti s prípravou všeobecne záväzných nariadení hlavného mesta Slovenskej republiky Bratislavy o prevádzkovaní hazardných hier na území hlavného mesta Slovenskej republiky Bratislavy si Vás dovoľujem požiadať o zaujatie stanoviska miestneho zastupiteľstva k predloženým návrhom všeobecne záväzných nariadení.</w:t>
      </w:r>
    </w:p>
    <w:p w:rsidR="008F22FB" w:rsidRDefault="008F22FB" w:rsidP="008F22FB">
      <w:pPr>
        <w:pStyle w:val="Zkladntext1"/>
        <w:spacing w:after="0" w:line="389" w:lineRule="auto"/>
        <w:ind w:firstLine="720"/>
        <w:jc w:val="both"/>
      </w:pPr>
      <w:r>
        <w:rPr>
          <w:color w:val="000000"/>
          <w:lang w:eastAsia="sk-SK" w:bidi="sk-SK"/>
        </w:rPr>
        <w:t>Cieľom navrhovaných všeobecne záväzných nariadení je zabezpečenie kontinuity platnosti VZN o podmienkach umiestňovania herní na území hlavného mesta Slovenskej republiky Bratislavy počas dlhšieho obdobia bez jeho každoročného opätovného prijímania, keďže zákaz prevádzkovania hazardných hier počas dní ustanovených vo všeobecne záväznom nariadení sa musí prijímať každoročne najneskôr do 31.10.. Vzhľadom na uvedené navrhujeme rozdeliť súčasne platné VZN č. 12/2019.</w:t>
      </w:r>
    </w:p>
    <w:p w:rsidR="008F22FB" w:rsidRDefault="008F22FB" w:rsidP="008F22FB">
      <w:pPr>
        <w:pStyle w:val="Zkladntext1"/>
        <w:spacing w:after="0" w:line="389" w:lineRule="auto"/>
        <w:ind w:firstLine="700"/>
      </w:pPr>
      <w:r>
        <w:rPr>
          <w:color w:val="000000"/>
          <w:lang w:eastAsia="sk-SK" w:bidi="sk-SK"/>
        </w:rPr>
        <w:t>Stanovisko miestneho zastupiteľstva je potrebné zaslať najneskôr do 4.9.2020.</w:t>
      </w:r>
    </w:p>
    <w:p w:rsidR="008F22FB" w:rsidRDefault="008F22FB" w:rsidP="008F22FB">
      <w:pPr>
        <w:pStyle w:val="Zkladntext1"/>
        <w:spacing w:after="220" w:line="389" w:lineRule="auto"/>
        <w:ind w:firstLine="720"/>
        <w:jc w:val="both"/>
      </w:pPr>
      <w:r>
        <w:rPr>
          <w:color w:val="000000"/>
          <w:lang w:eastAsia="sk-SK" w:bidi="sk-SK"/>
        </w:rPr>
        <w:t xml:space="preserve">Prípadné stanoviská a pripomienky k návrhu nariadení zašlite na oddelenie miestnych daní, poplatkov a licencií v čo najkratšom čase písomne alebo elektronickou poštou na adresu </w:t>
      </w:r>
      <w:hyperlink r:id="rId11" w:history="1">
        <w:r>
          <w:rPr>
            <w:color w:val="000000"/>
            <w:u w:val="single"/>
            <w:lang w:val="en-US" w:bidi="en-US"/>
          </w:rPr>
          <w:t>juraj.ciba@bratislava.sk</w:t>
        </w:r>
      </w:hyperlink>
      <w:r>
        <w:rPr>
          <w:color w:val="000000"/>
          <w:lang w:val="en-US" w:bidi="en-US"/>
        </w:rPr>
        <w:t xml:space="preserve">, </w:t>
      </w:r>
      <w:r>
        <w:rPr>
          <w:color w:val="000000"/>
          <w:lang w:eastAsia="sk-SK" w:bidi="sk-SK"/>
        </w:rPr>
        <w:t xml:space="preserve">v kópii </w:t>
      </w:r>
      <w:hyperlink r:id="rId12" w:history="1">
        <w:r>
          <w:rPr>
            <w:color w:val="000000"/>
            <w:u w:val="single"/>
            <w:lang w:val="en-US" w:bidi="en-US"/>
          </w:rPr>
          <w:t>omdp@bratislava.sk</w:t>
        </w:r>
      </w:hyperlink>
      <w:r>
        <w:rPr>
          <w:color w:val="000000"/>
          <w:lang w:val="en-US" w:bidi="en-US"/>
        </w:rPr>
        <w:t>.</w:t>
      </w:r>
    </w:p>
    <w:p w:rsidR="008F22FB" w:rsidRDefault="008F22FB" w:rsidP="008F22FB">
      <w:pPr>
        <w:pStyle w:val="Zkladntext1"/>
        <w:spacing w:after="800" w:line="240" w:lineRule="auto"/>
        <w:ind w:firstLine="720"/>
        <w:jc w:val="both"/>
      </w:pPr>
      <w:r>
        <w:rPr>
          <w:color w:val="000000"/>
          <w:lang w:eastAsia="sk-SK" w:bidi="sk-SK"/>
        </w:rPr>
        <w:t>S pozdravom</w:t>
      </w:r>
    </w:p>
    <w:p w:rsidR="008F22FB" w:rsidRDefault="008F22FB" w:rsidP="008F22FB">
      <w:pPr>
        <w:pStyle w:val="Zkladntext1"/>
        <w:spacing w:after="0" w:line="240" w:lineRule="auto"/>
      </w:pPr>
      <w:r>
        <w:rPr>
          <w:color w:val="000000"/>
          <w:lang w:eastAsia="sk-SK" w:bidi="sk-SK"/>
        </w:rPr>
        <w:t>Ing. Ján Hrčka</w:t>
      </w:r>
    </w:p>
    <w:p w:rsidR="008F22FB" w:rsidRDefault="008F22FB" w:rsidP="008F22FB">
      <w:pPr>
        <w:pStyle w:val="Zkladntext1"/>
        <w:spacing w:after="0" w:line="240" w:lineRule="auto"/>
      </w:pPr>
      <w:r>
        <w:rPr>
          <w:color w:val="000000"/>
          <w:lang w:eastAsia="sk-SK" w:bidi="sk-SK"/>
        </w:rPr>
        <w:t>starosta</w:t>
      </w:r>
    </w:p>
    <w:p w:rsidR="008F22FB" w:rsidRDefault="008F22FB" w:rsidP="008F22FB">
      <w:pPr>
        <w:pStyle w:val="Zkladntext1"/>
        <w:spacing w:after="300" w:line="240" w:lineRule="auto"/>
      </w:pPr>
      <w:r>
        <w:rPr>
          <w:color w:val="000000"/>
          <w:lang w:eastAsia="sk-SK" w:bidi="sk-SK"/>
        </w:rPr>
        <w:t>Miestny úrad Bratislava - Petržalka</w:t>
      </w:r>
    </w:p>
    <w:p w:rsidR="008F22FB" w:rsidRDefault="008F22FB" w:rsidP="008F22FB">
      <w:pPr>
        <w:pStyle w:val="Zkladntext20"/>
        <w:ind w:left="0" w:firstLine="0"/>
      </w:pPr>
      <w:r>
        <w:rPr>
          <w:color w:val="000000"/>
          <w:u w:val="single"/>
          <w:lang w:eastAsia="sk-SK" w:bidi="sk-SK"/>
        </w:rPr>
        <w:t>Príloha:</w:t>
      </w:r>
    </w:p>
    <w:p w:rsidR="008F22FB" w:rsidRDefault="008F22FB" w:rsidP="008F22FB">
      <w:pPr>
        <w:pStyle w:val="Zkladntext20"/>
        <w:numPr>
          <w:ilvl w:val="0"/>
          <w:numId w:val="23"/>
        </w:numPr>
        <w:tabs>
          <w:tab w:val="left" w:pos="336"/>
        </w:tabs>
      </w:pPr>
      <w:r>
        <w:rPr>
          <w:color w:val="000000"/>
          <w:lang w:eastAsia="sk-SK" w:bidi="sk-SK"/>
        </w:rPr>
        <w:t>Návrh všeobecne záväzného nariadenia hlavného mesta Slovenskej republiky Bratislavy o zákaze prevádzkovania hazardných hier na území hlavného mesta Slovenskej republiky Bratislavy počas dní ustanovených týmto všeobecne záväzným nariadením.</w:t>
      </w:r>
    </w:p>
    <w:p w:rsidR="008F22FB" w:rsidRDefault="008F22FB" w:rsidP="008F22FB">
      <w:pPr>
        <w:pStyle w:val="Zkladntext20"/>
        <w:numPr>
          <w:ilvl w:val="0"/>
          <w:numId w:val="23"/>
        </w:numPr>
        <w:tabs>
          <w:tab w:val="left" w:pos="336"/>
        </w:tabs>
      </w:pPr>
      <w:r>
        <w:rPr>
          <w:color w:val="000000"/>
          <w:lang w:eastAsia="sk-SK" w:bidi="sk-SK"/>
        </w:rPr>
        <w:t>Návrh všeobecne záväzného nariadenia hlavného mesta Slovenskej republiky Bratislavy o podmienkach umiestňovania herní na území hlavného mesta Slovenskej republiky Bratislavy</w:t>
      </w:r>
    </w:p>
    <w:p w:rsidR="008F22FB" w:rsidRDefault="008F22FB" w:rsidP="008F22FB">
      <w:pPr>
        <w:pStyle w:val="Zkladntext20"/>
        <w:numPr>
          <w:ilvl w:val="0"/>
          <w:numId w:val="23"/>
        </w:numPr>
        <w:tabs>
          <w:tab w:val="left" w:pos="336"/>
        </w:tabs>
        <w:spacing w:after="100"/>
        <w:ind w:left="0" w:firstLine="0"/>
      </w:pPr>
      <w:r>
        <w:rPr>
          <w:color w:val="000000"/>
          <w:lang w:eastAsia="sk-SK" w:bidi="sk-SK"/>
        </w:rPr>
        <w:t>Dôvodová správa</w:t>
      </w:r>
    </w:p>
    <w:p w:rsidR="008F22FB" w:rsidRDefault="008F22FB" w:rsidP="008F22FB">
      <w:pPr>
        <w:pStyle w:val="Zhlavie10"/>
        <w:keepNext/>
        <w:keepLines/>
        <w:spacing w:line="240" w:lineRule="auto"/>
        <w:rPr>
          <w:color w:val="000000"/>
          <w:lang w:eastAsia="sk-SK" w:bidi="sk-SK"/>
        </w:rPr>
      </w:pPr>
      <w:bookmarkStart w:id="1" w:name="bookmark0"/>
    </w:p>
    <w:p w:rsidR="008F22FB" w:rsidRDefault="008F22FB" w:rsidP="008F22FB">
      <w:pPr>
        <w:pStyle w:val="Zhlavie10"/>
        <w:keepNext/>
        <w:keepLines/>
        <w:spacing w:line="240" w:lineRule="auto"/>
        <w:rPr>
          <w:color w:val="000000"/>
          <w:lang w:eastAsia="sk-SK" w:bidi="sk-SK"/>
        </w:rPr>
      </w:pPr>
    </w:p>
    <w:p w:rsidR="008F22FB" w:rsidRDefault="008F22FB" w:rsidP="008F22FB">
      <w:pPr>
        <w:pStyle w:val="Zhlavie10"/>
        <w:keepNext/>
        <w:keepLines/>
        <w:spacing w:line="240" w:lineRule="auto"/>
      </w:pPr>
      <w:r>
        <w:rPr>
          <w:color w:val="000000"/>
          <w:lang w:eastAsia="sk-SK" w:bidi="sk-SK"/>
        </w:rPr>
        <w:t>Dôvodová správa</w:t>
      </w:r>
      <w:bookmarkEnd w:id="1"/>
    </w:p>
    <w:p w:rsidR="008F22FB" w:rsidRDefault="008F22FB" w:rsidP="008F22FB">
      <w:pPr>
        <w:pStyle w:val="Zkladntext1"/>
        <w:jc w:val="both"/>
      </w:pPr>
      <w:r>
        <w:rPr>
          <w:color w:val="000000"/>
          <w:lang w:eastAsia="sk-SK" w:bidi="sk-SK"/>
        </w:rPr>
        <w:t xml:space="preserve">Účelom navrhovaných všeobecne záväzných nariadení (ďalej len „VZN“) je </w:t>
      </w:r>
      <w:r>
        <w:rPr>
          <w:b/>
          <w:bCs/>
          <w:color w:val="000000"/>
          <w:lang w:eastAsia="sk-SK" w:bidi="sk-SK"/>
        </w:rPr>
        <w:t xml:space="preserve">rozdelenie súčasne platného VZN č. 12/2019 zo dňa 24.10.2019 </w:t>
      </w:r>
      <w:r>
        <w:rPr>
          <w:color w:val="000000"/>
          <w:lang w:eastAsia="sk-SK" w:bidi="sk-SK"/>
        </w:rPr>
        <w:t>o prevádzkovaní hazardných hier na území hlavného mesta Slovenskej republiky Bratislavy na dve VZN t. j.</w:t>
      </w:r>
    </w:p>
    <w:p w:rsidR="008F22FB" w:rsidRDefault="008F22FB" w:rsidP="008F22FB">
      <w:pPr>
        <w:pStyle w:val="Zkladntext1"/>
        <w:spacing w:line="252" w:lineRule="auto"/>
        <w:ind w:left="280" w:hanging="280"/>
        <w:jc w:val="both"/>
      </w:pPr>
      <w:r>
        <w:rPr>
          <w:color w:val="000000"/>
          <w:lang w:eastAsia="sk-SK" w:bidi="sk-SK"/>
        </w:rPr>
        <w:t>1. VZN o zákaze prevádzkovania hazardných hier na území hlavného mesta Slovenskej republiky Bratislavy (§14 ods. 11) o zákaze prevádzkovania hazardných hier počas dní ustanovených týmto všeobecne záväzným nariadením.</w:t>
      </w:r>
    </w:p>
    <w:p w:rsidR="008F22FB" w:rsidRDefault="008F22FB" w:rsidP="008F22FB">
      <w:pPr>
        <w:pStyle w:val="Zkladntext1"/>
        <w:spacing w:line="252" w:lineRule="auto"/>
        <w:ind w:left="280" w:hanging="280"/>
        <w:jc w:val="both"/>
      </w:pPr>
      <w:r>
        <w:rPr>
          <w:color w:val="000000"/>
          <w:lang w:eastAsia="sk-SK" w:bidi="sk-SK"/>
        </w:rPr>
        <w:t>2. VZN o podmienkach umiestňovania herní na území hlavného mesta Slovenskej republiky Bratislavy podľa § 15 ods. 5 a § 15 ods. 16 zákona o hazardných hrách.</w:t>
      </w:r>
    </w:p>
    <w:p w:rsidR="008F22FB" w:rsidRDefault="008F22FB" w:rsidP="008F22FB">
      <w:pPr>
        <w:pStyle w:val="Zkladntext1"/>
        <w:spacing w:line="257" w:lineRule="auto"/>
        <w:jc w:val="both"/>
      </w:pPr>
      <w:r>
        <w:rPr>
          <w:color w:val="000000"/>
          <w:lang w:eastAsia="sk-SK" w:bidi="sk-SK"/>
        </w:rPr>
        <w:t xml:space="preserve">Podľa § </w:t>
      </w:r>
      <w:r>
        <w:rPr>
          <w:b/>
          <w:bCs/>
          <w:color w:val="000000"/>
          <w:lang w:eastAsia="sk-SK" w:bidi="sk-SK"/>
        </w:rPr>
        <w:t xml:space="preserve">79 ods. 7 </w:t>
      </w:r>
      <w:r>
        <w:rPr>
          <w:color w:val="000000"/>
          <w:lang w:eastAsia="sk-SK" w:bidi="sk-SK"/>
        </w:rPr>
        <w:t xml:space="preserve">zákona č. 30/2019 o hazardných hrách a o zmene a doplnení niektorých zákonov obec môže ustanoviť všeobecne záväzným nariadením dátumy dní počas ktorých bude zakázané prevádzkovať hazardné hry podľa § 4 ods. 2 písm. c) a e) až h) a § 5 ods. 12, okrem internetových hier podľa § 30, najviac však 12 dní v kalendárnom roku. Ak obec prijme takéto všeobecne záväzné nariadenie, musí tak rozhodnúť do 31.októbra a toto všeobecne záväzné nariadenie bude platiť v priebehu nasledujúceho </w:t>
      </w:r>
      <w:r>
        <w:rPr>
          <w:b/>
          <w:bCs/>
          <w:color w:val="000000"/>
          <w:lang w:eastAsia="sk-SK" w:bidi="sk-SK"/>
        </w:rPr>
        <w:t xml:space="preserve">kalendárneho roka. </w:t>
      </w:r>
      <w:r>
        <w:rPr>
          <w:color w:val="000000"/>
          <w:lang w:eastAsia="sk-SK" w:bidi="sk-SK"/>
        </w:rPr>
        <w:t xml:space="preserve">Z uvedeného vyplýva, že zákaz prevádzkovania vybraných druhov hazardných hier počas dní stanovených vo VZN je potrebné </w:t>
      </w:r>
      <w:r>
        <w:rPr>
          <w:b/>
          <w:bCs/>
          <w:color w:val="000000"/>
          <w:lang w:eastAsia="sk-SK" w:bidi="sk-SK"/>
        </w:rPr>
        <w:t>obnovovať každoročne.</w:t>
      </w:r>
    </w:p>
    <w:p w:rsidR="008F22FB" w:rsidRDefault="008F22FB" w:rsidP="008F22FB">
      <w:pPr>
        <w:pStyle w:val="Zkladntext1"/>
        <w:spacing w:after="0"/>
        <w:jc w:val="both"/>
      </w:pPr>
      <w:r>
        <w:rPr>
          <w:color w:val="000000"/>
          <w:lang w:eastAsia="sk-SK" w:bidi="sk-SK"/>
        </w:rPr>
        <w:t xml:space="preserve">Podľa § </w:t>
      </w:r>
      <w:r>
        <w:rPr>
          <w:b/>
          <w:bCs/>
          <w:color w:val="000000"/>
          <w:lang w:eastAsia="sk-SK" w:bidi="sk-SK"/>
        </w:rPr>
        <w:t xml:space="preserve">79 ods. 6 </w:t>
      </w:r>
      <w:r>
        <w:rPr>
          <w:color w:val="000000"/>
          <w:lang w:eastAsia="sk-SK" w:bidi="sk-SK"/>
        </w:rPr>
        <w:t>zákona o hazardných hrách zákonov obec môže ustanoviť všeobecne záväzným nariadením uplatnenie podmienok podľa:</w:t>
      </w:r>
    </w:p>
    <w:p w:rsidR="008F22FB" w:rsidRDefault="008F22FB" w:rsidP="008F22FB">
      <w:pPr>
        <w:pStyle w:val="Zkladntext1"/>
        <w:spacing w:after="0"/>
        <w:ind w:left="720"/>
        <w:jc w:val="both"/>
      </w:pPr>
      <w:r>
        <w:rPr>
          <w:color w:val="000000"/>
          <w:lang w:eastAsia="sk-SK" w:bidi="sk-SK"/>
        </w:rPr>
        <w:t>§ 15 ods. 5, že herňa nesmie byť umiestnená vo vzdialenosti menej ako 200 metrov od zákonom stanovených zariadení,</w:t>
      </w:r>
    </w:p>
    <w:p w:rsidR="008F22FB" w:rsidRDefault="008F22FB" w:rsidP="008F22FB">
      <w:pPr>
        <w:pStyle w:val="Zkladntext1"/>
        <w:ind w:left="720"/>
        <w:jc w:val="both"/>
      </w:pPr>
      <w:r>
        <w:rPr>
          <w:color w:val="000000"/>
          <w:lang w:eastAsia="sk-SK" w:bidi="sk-SK"/>
        </w:rPr>
        <w:t>§ 15 ods. 16, že herňa nesmie byť umiestnená vo vzdialenosti menej ako 200 metrov od inej herne.</w:t>
      </w:r>
    </w:p>
    <w:p w:rsidR="008F22FB" w:rsidRDefault="008F22FB" w:rsidP="008F22FB">
      <w:pPr>
        <w:pStyle w:val="Zkladntext1"/>
        <w:jc w:val="both"/>
      </w:pPr>
      <w:r>
        <w:rPr>
          <w:color w:val="000000"/>
          <w:lang w:eastAsia="sk-SK" w:bidi="sk-SK"/>
        </w:rPr>
        <w:t>Uplatnenie týchto podmienok nie je časovo obmedzené zákonom o hazardných hrách, to znamená, že sa nemusí prijímať každoročne.</w:t>
      </w:r>
    </w:p>
    <w:p w:rsidR="008F22FB" w:rsidRDefault="008F22FB" w:rsidP="008F22FB">
      <w:pPr>
        <w:pStyle w:val="Zkladntext1"/>
        <w:spacing w:line="257" w:lineRule="auto"/>
        <w:jc w:val="both"/>
      </w:pPr>
      <w:r>
        <w:rPr>
          <w:color w:val="000000"/>
          <w:lang w:eastAsia="sk-SK" w:bidi="sk-SK"/>
        </w:rPr>
        <w:t>V nadväznosti na vyššie uvedené odporúčame zrušiť súčasne platné VZN č. 12/20129 o prevádzkovaní hazardných hier na území hlavného mesta Slovenskej republiky Bratislavy a namiesto neho prijať 2 nové VZN s účinnosťou od 1.1.2021.</w:t>
      </w:r>
    </w:p>
    <w:p w:rsidR="008F22FB" w:rsidRDefault="008F22FB" w:rsidP="008F22FB">
      <w:pPr>
        <w:pStyle w:val="Zkladntext1"/>
        <w:spacing w:line="259" w:lineRule="auto"/>
        <w:jc w:val="both"/>
      </w:pPr>
      <w:r>
        <w:rPr>
          <w:color w:val="000000"/>
          <w:lang w:eastAsia="sk-SK" w:bidi="sk-SK"/>
        </w:rPr>
        <w:t>Hlavné mesto Slovenskej republiky Bratislava malo v kalendárnom roku 2017 príjem z vybraných druhov hazardných hier (videohry, rulety, výherné prístroje, výherné prístroje v kasínach) vo výške 2 090 625 €, v roku 2018 vo výške 1 884 208 € a v roku 2019 vo výške 2 756 433 €.</w:t>
      </w:r>
    </w:p>
    <w:p w:rsidR="008F22FB" w:rsidRDefault="008F22FB" w:rsidP="008F22FB">
      <w:pPr>
        <w:pStyle w:val="Zkladntext1"/>
        <w:jc w:val="both"/>
      </w:pPr>
      <w:r>
        <w:rPr>
          <w:color w:val="000000"/>
          <w:lang w:eastAsia="sk-SK" w:bidi="sk-SK"/>
        </w:rPr>
        <w:t>Prijatie navrhovaných VZN bude mať dopad na príjmy rozpočtu Hlavného mesta SR Bratislavy v závislosti od platnosti licencií vydaných Úradom pre reguláciu hazardných hier. Platnosť týchto licencií je väčšinou do konca r. 2023-2024. Zákaz sa bude totiž týkať len nových žiadostí o umiestnenie herne resp. kasína. Pre informáciu uvádzame, že na území hlavného mesta SR Bratislavy sa k 31.12.2019 prevádzkovalo 89 herní a 6 kasín, Celkový počet technických zariadení prevádzkovaných k 31.12.2019 bol 2651 (videohry, rulety, výherné prístroje, výherné prístroje umiestnené v kasíne).</w:t>
      </w:r>
      <w:r>
        <w:br w:type="page"/>
      </w:r>
    </w:p>
    <w:p w:rsidR="008F22FB" w:rsidRDefault="008F22FB" w:rsidP="008F22FB">
      <w:pPr>
        <w:pStyle w:val="Zkladntext1"/>
        <w:spacing w:line="257" w:lineRule="auto"/>
        <w:jc w:val="center"/>
        <w:rPr>
          <w:b/>
          <w:bCs/>
          <w:color w:val="000000"/>
          <w:lang w:eastAsia="sk-SK" w:bidi="sk-SK"/>
        </w:rPr>
      </w:pPr>
    </w:p>
    <w:p w:rsidR="008F22FB" w:rsidRDefault="008F22FB" w:rsidP="008F22FB">
      <w:pPr>
        <w:pStyle w:val="Zkladntext1"/>
        <w:spacing w:line="257" w:lineRule="auto"/>
        <w:jc w:val="center"/>
        <w:rPr>
          <w:b/>
          <w:bCs/>
          <w:color w:val="000000"/>
          <w:lang w:eastAsia="sk-SK" w:bidi="sk-SK"/>
        </w:rPr>
      </w:pPr>
    </w:p>
    <w:p w:rsidR="008F22FB" w:rsidRDefault="008F22FB" w:rsidP="008F22FB">
      <w:pPr>
        <w:pStyle w:val="Zkladntext1"/>
        <w:spacing w:line="257" w:lineRule="auto"/>
        <w:jc w:val="center"/>
      </w:pPr>
      <w:r>
        <w:rPr>
          <w:b/>
          <w:bCs/>
          <w:color w:val="000000"/>
          <w:lang w:eastAsia="sk-SK" w:bidi="sk-SK"/>
        </w:rPr>
        <w:t>Návrh</w:t>
      </w:r>
      <w:r>
        <w:rPr>
          <w:b/>
          <w:bCs/>
          <w:color w:val="000000"/>
          <w:lang w:eastAsia="sk-SK" w:bidi="sk-SK"/>
        </w:rPr>
        <w:br/>
        <w:t>všeobecne záväzné nariadenie</w:t>
      </w:r>
      <w:r>
        <w:rPr>
          <w:b/>
          <w:bCs/>
          <w:color w:val="000000"/>
          <w:lang w:eastAsia="sk-SK" w:bidi="sk-SK"/>
        </w:rPr>
        <w:br/>
        <w:t>hlavného mesta Slovenskej republiky Bratislavy</w:t>
      </w:r>
    </w:p>
    <w:p w:rsidR="008F22FB" w:rsidRDefault="008F22FB" w:rsidP="008F22FB">
      <w:pPr>
        <w:pStyle w:val="Zhlavie10"/>
        <w:keepNext/>
        <w:keepLines/>
        <w:spacing w:line="259" w:lineRule="auto"/>
        <w:jc w:val="left"/>
      </w:pPr>
      <w:bookmarkStart w:id="2" w:name="bookmark2"/>
      <w:r>
        <w:rPr>
          <w:color w:val="000000"/>
          <w:lang w:eastAsia="sk-SK" w:bidi="sk-SK"/>
        </w:rPr>
        <w:t>o zákaze prevádzkovania hazardných hier na území hlavného mesta Slovenskej republiky Bratislavy počas dní ustanovených týmto všeobecne záväzným nariadením</w:t>
      </w:r>
      <w:bookmarkEnd w:id="2"/>
    </w:p>
    <w:p w:rsidR="008F22FB" w:rsidRDefault="008F22FB" w:rsidP="008F22FB">
      <w:pPr>
        <w:pStyle w:val="Zkladntext1"/>
        <w:spacing w:after="0" w:line="240" w:lineRule="auto"/>
        <w:jc w:val="center"/>
      </w:pPr>
      <w:r>
        <w:rPr>
          <w:color w:val="000000"/>
          <w:lang w:eastAsia="sk-SK" w:bidi="sk-SK"/>
        </w:rPr>
        <w:t>č. ... /2020</w:t>
      </w:r>
    </w:p>
    <w:p w:rsidR="008F22FB" w:rsidRDefault="008F22FB" w:rsidP="008F22FB">
      <w:pPr>
        <w:pStyle w:val="Zkladntext1"/>
        <w:tabs>
          <w:tab w:val="left" w:leader="dot" w:pos="739"/>
        </w:tabs>
        <w:spacing w:line="240" w:lineRule="auto"/>
        <w:jc w:val="center"/>
      </w:pPr>
      <w:r>
        <w:rPr>
          <w:color w:val="000000"/>
          <w:lang w:eastAsia="sk-SK" w:bidi="sk-SK"/>
        </w:rPr>
        <w:t>z</w:t>
      </w:r>
      <w:r>
        <w:rPr>
          <w:color w:val="000000"/>
          <w:lang w:eastAsia="sk-SK" w:bidi="sk-SK"/>
        </w:rPr>
        <w:tab/>
        <w:t>2020</w:t>
      </w:r>
    </w:p>
    <w:p w:rsidR="008F22FB" w:rsidRDefault="008F22FB" w:rsidP="008F22FB">
      <w:pPr>
        <w:pStyle w:val="Zkladntext1"/>
        <w:spacing w:after="300"/>
        <w:ind w:firstLine="700"/>
        <w:jc w:val="both"/>
      </w:pPr>
      <w:r>
        <w:rPr>
          <w:color w:val="000000"/>
          <w:lang w:eastAsia="sk-SK" w:bidi="sk-SK"/>
        </w:rPr>
        <w:t>Mestské zastupiteľstvo hlavného mesta Slovenskej republiky Bratislavy podľa § 11 ods. 5 písm. c) zákona Slovenskej národnej rady č. 377/1990 Zb. o hlavnom meste Slovenskej republiky Bratislavy v znení neskorších predpisov a § 79 ods. 7 zákona č. 30/2019 Z. z. o hazardných hrách a o zmene a doplnení niektorých zákonov (ďalej len „zákon o hazardných hrách“) sa uznieslo na tomto všeobecne záväznom nariadení:</w:t>
      </w:r>
    </w:p>
    <w:p w:rsidR="008F22FB" w:rsidRDefault="008F22FB" w:rsidP="008F22FB">
      <w:pPr>
        <w:pStyle w:val="Zhlavie10"/>
        <w:keepNext/>
        <w:keepLines/>
        <w:spacing w:after="40" w:line="240" w:lineRule="auto"/>
        <w:ind w:left="4100"/>
        <w:jc w:val="left"/>
      </w:pPr>
      <w:bookmarkStart w:id="3" w:name="bookmark4"/>
      <w:r>
        <w:rPr>
          <w:color w:val="000000"/>
          <w:lang w:eastAsia="sk-SK" w:bidi="sk-SK"/>
        </w:rPr>
        <w:t>§1</w:t>
      </w:r>
      <w:bookmarkEnd w:id="3"/>
    </w:p>
    <w:p w:rsidR="008F22FB" w:rsidRDefault="008F22FB" w:rsidP="008F22FB">
      <w:pPr>
        <w:pStyle w:val="Zhlavie10"/>
        <w:keepNext/>
        <w:keepLines/>
        <w:spacing w:line="240" w:lineRule="auto"/>
      </w:pPr>
      <w:r>
        <w:rPr>
          <w:color w:val="000000"/>
          <w:lang w:eastAsia="sk-SK" w:bidi="sk-SK"/>
        </w:rPr>
        <w:t>Úvodné ustanovenie</w:t>
      </w:r>
    </w:p>
    <w:p w:rsidR="008F22FB" w:rsidRDefault="008F22FB" w:rsidP="008F22FB">
      <w:pPr>
        <w:pStyle w:val="Zkladntext1"/>
        <w:spacing w:line="259" w:lineRule="auto"/>
        <w:ind w:firstLine="400"/>
        <w:jc w:val="both"/>
      </w:pPr>
      <w:r>
        <w:rPr>
          <w:color w:val="000000"/>
          <w:lang w:eastAsia="sk-SK" w:bidi="sk-SK"/>
        </w:rPr>
        <w:t>Toto všeobecne záväzné nariadenie (ďalej len „nariadenie“) upravuje zákaz prevádzkovania hazardných hier na území hlavného mesta Slovenskej republiky Bratislavy (ďalej len „Bratislava“) počas dní ustanovených týmto nariadením.</w:t>
      </w:r>
    </w:p>
    <w:p w:rsidR="008F22FB" w:rsidRDefault="008F22FB" w:rsidP="008F22FB">
      <w:pPr>
        <w:pStyle w:val="Zhlavie10"/>
        <w:keepNext/>
        <w:keepLines/>
        <w:spacing w:line="240" w:lineRule="auto"/>
      </w:pPr>
      <w:bookmarkStart w:id="4" w:name="bookmark7"/>
      <w:r>
        <w:rPr>
          <w:color w:val="000000"/>
          <w:lang w:eastAsia="sk-SK" w:bidi="sk-SK"/>
        </w:rPr>
        <w:t>§2</w:t>
      </w:r>
      <w:bookmarkEnd w:id="4"/>
    </w:p>
    <w:p w:rsidR="008F22FB" w:rsidRDefault="008F22FB" w:rsidP="008F22FB">
      <w:pPr>
        <w:pStyle w:val="Zhlavie10"/>
        <w:keepNext/>
        <w:keepLines/>
        <w:spacing w:line="240" w:lineRule="auto"/>
      </w:pPr>
      <w:r>
        <w:rPr>
          <w:color w:val="000000"/>
          <w:lang w:eastAsia="sk-SK" w:bidi="sk-SK"/>
        </w:rPr>
        <w:t>Zákaz prevádzkovania vybraných druhov hazardných hier</w:t>
      </w:r>
    </w:p>
    <w:p w:rsidR="008F22FB" w:rsidRDefault="008F22FB" w:rsidP="008F22FB">
      <w:pPr>
        <w:pStyle w:val="Zkladntext1"/>
        <w:spacing w:line="252" w:lineRule="auto"/>
        <w:ind w:firstLine="360"/>
      </w:pPr>
      <w:r>
        <w:rPr>
          <w:color w:val="000000"/>
          <w:lang w:eastAsia="sk-SK" w:bidi="sk-SK"/>
        </w:rPr>
        <w:t>Na území Bratislavy sa zakazuje prevádzkovať tieto hazardné hry:</w:t>
      </w:r>
    </w:p>
    <w:p w:rsidR="008F22FB" w:rsidRDefault="008F22FB" w:rsidP="008F22FB">
      <w:pPr>
        <w:pStyle w:val="Zkladntext1"/>
        <w:numPr>
          <w:ilvl w:val="0"/>
          <w:numId w:val="24"/>
        </w:numPr>
        <w:tabs>
          <w:tab w:val="left" w:pos="368"/>
        </w:tabs>
        <w:spacing w:after="0" w:line="252" w:lineRule="auto"/>
      </w:pPr>
      <w:r>
        <w:rPr>
          <w:color w:val="000000"/>
          <w:lang w:eastAsia="sk-SK" w:bidi="sk-SK"/>
        </w:rPr>
        <w:t>stolové hry,</w:t>
      </w:r>
    </w:p>
    <w:p w:rsidR="008F22FB" w:rsidRDefault="008F22FB" w:rsidP="008F22FB">
      <w:pPr>
        <w:pStyle w:val="Zkladntext1"/>
        <w:numPr>
          <w:ilvl w:val="0"/>
          <w:numId w:val="24"/>
        </w:numPr>
        <w:tabs>
          <w:tab w:val="left" w:pos="387"/>
        </w:tabs>
        <w:spacing w:after="0" w:line="252" w:lineRule="auto"/>
      </w:pPr>
      <w:r>
        <w:rPr>
          <w:color w:val="000000"/>
          <w:lang w:eastAsia="sk-SK" w:bidi="sk-SK"/>
        </w:rPr>
        <w:t>hazardné hry na výherných prístrojoch,</w:t>
      </w:r>
    </w:p>
    <w:p w:rsidR="008F22FB" w:rsidRDefault="008F22FB" w:rsidP="008F22FB">
      <w:pPr>
        <w:pStyle w:val="Zkladntext1"/>
        <w:numPr>
          <w:ilvl w:val="0"/>
          <w:numId w:val="24"/>
        </w:numPr>
        <w:tabs>
          <w:tab w:val="left" w:pos="368"/>
        </w:tabs>
        <w:spacing w:after="0" w:line="252" w:lineRule="auto"/>
      </w:pPr>
      <w:r>
        <w:rPr>
          <w:color w:val="000000"/>
          <w:lang w:eastAsia="sk-SK" w:bidi="sk-SK"/>
        </w:rPr>
        <w:t>hazardné hry na termináloch videohier,</w:t>
      </w:r>
    </w:p>
    <w:p w:rsidR="008F22FB" w:rsidRDefault="008F22FB" w:rsidP="008F22FB">
      <w:pPr>
        <w:pStyle w:val="Zkladntext1"/>
        <w:numPr>
          <w:ilvl w:val="0"/>
          <w:numId w:val="24"/>
        </w:numPr>
        <w:tabs>
          <w:tab w:val="left" w:pos="382"/>
        </w:tabs>
        <w:spacing w:after="0" w:line="252" w:lineRule="auto"/>
      </w:pPr>
      <w:r>
        <w:rPr>
          <w:color w:val="000000"/>
          <w:lang w:eastAsia="sk-SK" w:bidi="sk-SK"/>
        </w:rPr>
        <w:t>hazardné hry na technických zariadeniach obsluhovaných priamo hráčmi,</w:t>
      </w:r>
    </w:p>
    <w:p w:rsidR="008F22FB" w:rsidRDefault="008F22FB" w:rsidP="008F22FB">
      <w:pPr>
        <w:pStyle w:val="Zkladntext1"/>
        <w:numPr>
          <w:ilvl w:val="0"/>
          <w:numId w:val="24"/>
        </w:numPr>
        <w:tabs>
          <w:tab w:val="left" w:pos="368"/>
        </w:tabs>
        <w:spacing w:after="0" w:line="252" w:lineRule="auto"/>
      </w:pPr>
      <w:r>
        <w:rPr>
          <w:color w:val="000000"/>
          <w:lang w:eastAsia="sk-SK" w:bidi="sk-SK"/>
        </w:rPr>
        <w:t>hazardné hry na iných technických zariadeniach,</w:t>
      </w:r>
    </w:p>
    <w:p w:rsidR="008F22FB" w:rsidRDefault="008F22FB" w:rsidP="008F22FB">
      <w:pPr>
        <w:pStyle w:val="Zkladntext1"/>
        <w:numPr>
          <w:ilvl w:val="0"/>
          <w:numId w:val="24"/>
        </w:numPr>
        <w:tabs>
          <w:tab w:val="left" w:pos="365"/>
        </w:tabs>
        <w:spacing w:after="0" w:line="240" w:lineRule="auto"/>
      </w:pPr>
      <w:proofErr w:type="spellStart"/>
      <w:r>
        <w:rPr>
          <w:color w:val="000000"/>
          <w:lang w:eastAsia="sk-SK" w:bidi="sk-SK"/>
        </w:rPr>
        <w:t>bingo</w:t>
      </w:r>
      <w:proofErr w:type="spellEnd"/>
      <w:r>
        <w:rPr>
          <w:color w:val="000000"/>
          <w:lang w:eastAsia="sk-SK" w:bidi="sk-SK"/>
        </w:rPr>
        <w:t>, okrem internetových hier podľa § 30 zákona o hazardných hrách, počas dní stanovených</w:t>
      </w:r>
    </w:p>
    <w:p w:rsidR="008F22FB" w:rsidRDefault="008F22FB" w:rsidP="008F22FB">
      <w:pPr>
        <w:pStyle w:val="Zkladntext1"/>
        <w:spacing w:line="264" w:lineRule="auto"/>
      </w:pPr>
      <w:r>
        <w:rPr>
          <w:color w:val="000000"/>
          <w:lang w:eastAsia="sk-SK" w:bidi="sk-SK"/>
        </w:rPr>
        <w:t>v zákone o hazardných hrách t. j. na Veľký piatok, 24. a 25. decembra, v čase trvania štátneho smútku a aj počas týchto 12 dní v kalendárnom roku:</w:t>
      </w:r>
    </w:p>
    <w:p w:rsidR="008F22FB" w:rsidRDefault="008F22FB" w:rsidP="008F22FB">
      <w:pPr>
        <w:pStyle w:val="Zkladntext1"/>
        <w:tabs>
          <w:tab w:val="left" w:pos="3602"/>
          <w:tab w:val="left" w:pos="6216"/>
        </w:tabs>
        <w:spacing w:after="140" w:line="252" w:lineRule="auto"/>
      </w:pPr>
      <w:r>
        <w:rPr>
          <w:color w:val="000000"/>
          <w:lang w:eastAsia="sk-SK" w:bidi="sk-SK"/>
        </w:rPr>
        <w:t>1. januára,</w:t>
      </w:r>
      <w:r>
        <w:rPr>
          <w:color w:val="000000"/>
          <w:lang w:eastAsia="sk-SK" w:bidi="sk-SK"/>
        </w:rPr>
        <w:tab/>
        <w:t>6.  januára,</w:t>
      </w:r>
      <w:r>
        <w:rPr>
          <w:color w:val="000000"/>
          <w:lang w:eastAsia="sk-SK" w:bidi="sk-SK"/>
        </w:rPr>
        <w:tab/>
        <w:t>Veľkonočný pondelok,</w:t>
      </w:r>
    </w:p>
    <w:p w:rsidR="008F22FB" w:rsidRDefault="008F22FB" w:rsidP="008F22FB">
      <w:pPr>
        <w:pStyle w:val="Zkladntext1"/>
        <w:tabs>
          <w:tab w:val="left" w:pos="3602"/>
          <w:tab w:val="left" w:pos="4016"/>
        </w:tabs>
        <w:spacing w:after="140" w:line="252" w:lineRule="auto"/>
      </w:pPr>
      <w:r>
        <w:rPr>
          <w:noProof/>
          <w:lang w:eastAsia="sk-SK"/>
        </w:rPr>
        <mc:AlternateContent>
          <mc:Choice Requires="wps">
            <w:drawing>
              <wp:anchor distT="0" distB="0" distL="114300" distR="114300" simplePos="0" relativeHeight="251663360" behindDoc="0" locked="0" layoutInCell="1" allowOverlap="1" wp14:anchorId="3D7D58C7" wp14:editId="0CC3A21D">
                <wp:simplePos x="0" y="0"/>
                <wp:positionH relativeFrom="page">
                  <wp:posOffset>5434965</wp:posOffset>
                </wp:positionH>
                <wp:positionV relativeFrom="paragraph">
                  <wp:posOffset>12700</wp:posOffset>
                </wp:positionV>
                <wp:extent cx="920750" cy="70993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920750" cy="709930"/>
                        </a:xfrm>
                        <a:prstGeom prst="rect">
                          <a:avLst/>
                        </a:prstGeom>
                        <a:noFill/>
                      </wps:spPr>
                      <wps:txbx>
                        <w:txbxContent>
                          <w:p w:rsidR="008F22FB" w:rsidRDefault="008F22FB" w:rsidP="008F22FB">
                            <w:pPr>
                              <w:pStyle w:val="Zkladntext1"/>
                              <w:spacing w:after="160" w:line="240" w:lineRule="auto"/>
                            </w:pPr>
                            <w:r>
                              <w:rPr>
                                <w:color w:val="000000"/>
                                <w:lang w:eastAsia="sk-SK" w:bidi="sk-SK"/>
                              </w:rPr>
                              <w:t>5. júla,</w:t>
                            </w:r>
                          </w:p>
                          <w:p w:rsidR="008F22FB" w:rsidRDefault="008F22FB" w:rsidP="008F22FB">
                            <w:pPr>
                              <w:pStyle w:val="Zkladntext1"/>
                              <w:spacing w:after="160" w:line="240" w:lineRule="auto"/>
                            </w:pPr>
                            <w:r>
                              <w:rPr>
                                <w:color w:val="000000"/>
                                <w:lang w:eastAsia="sk-SK" w:bidi="sk-SK"/>
                              </w:rPr>
                              <w:t>15. septembra,</w:t>
                            </w:r>
                          </w:p>
                          <w:p w:rsidR="008F22FB" w:rsidRDefault="008F22FB" w:rsidP="008F22FB">
                            <w:pPr>
                              <w:pStyle w:val="Zkladntext1"/>
                              <w:spacing w:after="160" w:line="240" w:lineRule="auto"/>
                            </w:pPr>
                            <w:r>
                              <w:rPr>
                                <w:color w:val="000000"/>
                                <w:lang w:eastAsia="sk-SK" w:bidi="sk-SK"/>
                              </w:rPr>
                              <w:t>26. decembra.</w:t>
                            </w:r>
                          </w:p>
                        </w:txbxContent>
                      </wps:txbx>
                      <wps:bodyPr lIns="0" tIns="0" rIns="0" bIns="0"/>
                    </wps:wsp>
                  </a:graphicData>
                </a:graphic>
              </wp:anchor>
            </w:drawing>
          </mc:Choice>
          <mc:Fallback>
            <w:pict>
              <v:shape id="Shape 11" o:spid="_x0000_s1029" type="#_x0000_t202" style="position:absolute;margin-left:427.95pt;margin-top:1pt;width:72.5pt;height:55.9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" filled="f" stroked="f">
                <v:textbox inset="0,0,0,0">
                  <w:txbxContent>
                    <w:p w:rsidR="008F22FB" w:rsidRDefault="008F22FB" w:rsidP="008F22FB">
                      <w:pPr>
                        <w:pStyle w:val="Zkladntext1"/>
                        <w:spacing w:after="160" w:line="240" w:lineRule="auto"/>
                      </w:pPr>
                      <w:r>
                        <w:rPr>
                          <w:color w:val="000000"/>
                          <w:lang w:eastAsia="sk-SK" w:bidi="sk-SK"/>
                        </w:rPr>
                        <w:t>5. júla,</w:t>
                      </w:r>
                    </w:p>
                    <w:p w:rsidR="008F22FB" w:rsidRDefault="008F22FB" w:rsidP="008F22FB">
                      <w:pPr>
                        <w:pStyle w:val="Zkladntext1"/>
                        <w:spacing w:after="160" w:line="240" w:lineRule="auto"/>
                      </w:pPr>
                      <w:r>
                        <w:rPr>
                          <w:color w:val="000000"/>
                          <w:lang w:eastAsia="sk-SK" w:bidi="sk-SK"/>
                        </w:rPr>
                        <w:t>15. septembra,</w:t>
                      </w:r>
                    </w:p>
                    <w:p w:rsidR="008F22FB" w:rsidRDefault="008F22FB" w:rsidP="008F22FB">
                      <w:pPr>
                        <w:pStyle w:val="Zkladntext1"/>
                        <w:spacing w:after="160" w:line="240" w:lineRule="auto"/>
                      </w:pPr>
                      <w:r>
                        <w:rPr>
                          <w:color w:val="000000"/>
                          <w:lang w:eastAsia="sk-SK" w:bidi="sk-SK"/>
                        </w:rPr>
                        <w:t>26. decembra.</w:t>
                      </w:r>
                    </w:p>
                  </w:txbxContent>
                </v:textbox>
                <w10:wrap type="square" side="left" anchorx="page"/>
              </v:shape>
            </w:pict>
          </mc:Fallback>
        </mc:AlternateContent>
      </w:r>
      <w:r>
        <w:rPr>
          <w:color w:val="000000"/>
          <w:lang w:eastAsia="sk-SK" w:bidi="sk-SK"/>
        </w:rPr>
        <w:t>l. mája,</w:t>
      </w:r>
      <w:r>
        <w:rPr>
          <w:color w:val="000000"/>
          <w:lang w:eastAsia="sk-SK" w:bidi="sk-SK"/>
        </w:rPr>
        <w:tab/>
        <w:t>8. mája,</w:t>
      </w:r>
    </w:p>
    <w:p w:rsidR="008F22FB" w:rsidRDefault="008F22FB" w:rsidP="008F22FB">
      <w:pPr>
        <w:pStyle w:val="Zkladntext1"/>
        <w:tabs>
          <w:tab w:val="left" w:pos="3602"/>
          <w:tab w:val="left" w:pos="4011"/>
        </w:tabs>
        <w:spacing w:after="140" w:line="252" w:lineRule="auto"/>
      </w:pPr>
      <w:r>
        <w:rPr>
          <w:color w:val="000000"/>
          <w:lang w:eastAsia="sk-SK" w:bidi="sk-SK"/>
        </w:rPr>
        <w:t>29. augusta,</w:t>
      </w:r>
      <w:r>
        <w:rPr>
          <w:color w:val="000000"/>
          <w:lang w:eastAsia="sk-SK" w:bidi="sk-SK"/>
        </w:rPr>
        <w:tab/>
        <w:t>1. septembra,</w:t>
      </w:r>
    </w:p>
    <w:p w:rsidR="008F22FB" w:rsidRDefault="008F22FB" w:rsidP="008F22FB">
      <w:pPr>
        <w:pStyle w:val="Zkladntext1"/>
        <w:tabs>
          <w:tab w:val="left" w:pos="3602"/>
          <w:tab w:val="left" w:pos="3973"/>
        </w:tabs>
        <w:spacing w:line="252" w:lineRule="auto"/>
        <w:sectPr w:rsidR="008F22FB">
          <w:pgSz w:w="11900" w:h="16840"/>
          <w:pgMar w:top="723" w:right="1076" w:bottom="2045" w:left="1887" w:header="295" w:footer="1617" w:gutter="0"/>
          <w:pgNumType w:start="1"/>
          <w:cols w:space="720"/>
          <w:noEndnote/>
          <w:docGrid w:linePitch="360"/>
        </w:sectPr>
      </w:pPr>
      <w:r>
        <w:rPr>
          <w:color w:val="000000"/>
          <w:lang w:eastAsia="sk-SK" w:bidi="sk-SK"/>
        </w:rPr>
        <w:t>1. novembra,</w:t>
      </w:r>
      <w:r>
        <w:rPr>
          <w:color w:val="000000"/>
          <w:lang w:eastAsia="sk-SK" w:bidi="sk-SK"/>
        </w:rPr>
        <w:tab/>
        <w:t>2. novembra,</w:t>
      </w:r>
    </w:p>
    <w:p w:rsidR="008F22FB" w:rsidRDefault="008F22FB" w:rsidP="008F22FB">
      <w:pPr>
        <w:pStyle w:val="Zhlavie10"/>
        <w:keepNext/>
        <w:keepLines/>
        <w:spacing w:line="240" w:lineRule="auto"/>
      </w:pPr>
      <w:bookmarkStart w:id="5" w:name="bookmark10"/>
      <w:r>
        <w:rPr>
          <w:color w:val="000000"/>
          <w:lang w:eastAsia="sk-SK" w:bidi="sk-SK"/>
        </w:rPr>
        <w:lastRenderedPageBreak/>
        <w:t>§3</w:t>
      </w:r>
      <w:bookmarkEnd w:id="5"/>
    </w:p>
    <w:p w:rsidR="008F22FB" w:rsidRDefault="008F22FB" w:rsidP="008F22FB">
      <w:pPr>
        <w:pStyle w:val="Zhlavie10"/>
        <w:keepNext/>
        <w:keepLines/>
        <w:spacing w:line="240" w:lineRule="auto"/>
      </w:pPr>
      <w:r>
        <w:rPr>
          <w:color w:val="000000"/>
          <w:lang w:eastAsia="sk-SK" w:bidi="sk-SK"/>
        </w:rPr>
        <w:t>Prechodné ustanovenie</w:t>
      </w:r>
    </w:p>
    <w:p w:rsidR="008F22FB" w:rsidRDefault="008F22FB" w:rsidP="008F22FB">
      <w:pPr>
        <w:pStyle w:val="Zkladntext1"/>
        <w:spacing w:line="259" w:lineRule="auto"/>
      </w:pPr>
      <w:r>
        <w:rPr>
          <w:color w:val="000000"/>
          <w:lang w:eastAsia="sk-SK" w:bidi="sk-SK"/>
        </w:rPr>
        <w:t>Prevádzkovateľ hazardnej hry je povinný počas celej doby platnosti licencie dodržiavať podmienky stanovené zákonom o hazardných hrách.</w:t>
      </w:r>
    </w:p>
    <w:p w:rsidR="008F22FB" w:rsidRDefault="008F22FB" w:rsidP="008F22FB">
      <w:pPr>
        <w:pStyle w:val="Zhlavie10"/>
        <w:keepNext/>
        <w:keepLines/>
        <w:spacing w:line="259" w:lineRule="auto"/>
      </w:pPr>
      <w:bookmarkStart w:id="6" w:name="bookmark13"/>
      <w:r>
        <w:rPr>
          <w:color w:val="000000"/>
          <w:lang w:eastAsia="sk-SK" w:bidi="sk-SK"/>
        </w:rPr>
        <w:t>§4</w:t>
      </w:r>
      <w:bookmarkEnd w:id="6"/>
    </w:p>
    <w:p w:rsidR="008F22FB" w:rsidRDefault="008F22FB" w:rsidP="008F22FB">
      <w:pPr>
        <w:pStyle w:val="Zhlavie10"/>
        <w:keepNext/>
        <w:keepLines/>
        <w:spacing w:line="259" w:lineRule="auto"/>
      </w:pPr>
      <w:r>
        <w:rPr>
          <w:color w:val="000000"/>
          <w:lang w:eastAsia="sk-SK" w:bidi="sk-SK"/>
        </w:rPr>
        <w:t>Účinnosť</w:t>
      </w:r>
    </w:p>
    <w:p w:rsidR="008F22FB" w:rsidRDefault="008F22FB" w:rsidP="008F22FB">
      <w:pPr>
        <w:pStyle w:val="Zkladntext1"/>
        <w:spacing w:after="2420" w:line="240" w:lineRule="auto"/>
        <w:jc w:val="center"/>
      </w:pPr>
      <w:r>
        <w:rPr>
          <w:color w:val="000000"/>
          <w:lang w:eastAsia="sk-SK" w:bidi="sk-SK"/>
        </w:rPr>
        <w:t>Toto nariadenie nadobúda účinnosť 1. januára 2021.</w:t>
      </w:r>
    </w:p>
    <w:p w:rsidR="008F22FB" w:rsidRDefault="008F22FB" w:rsidP="008F22FB">
      <w:pPr>
        <w:pStyle w:val="Zkladntext1"/>
        <w:ind w:left="6500" w:hanging="800"/>
        <w:rPr>
          <w:color w:val="000000"/>
          <w:lang w:val="es-ES" w:eastAsia="es-ES" w:bidi="es-ES"/>
        </w:rPr>
      </w:pPr>
      <w:r>
        <w:rPr>
          <w:color w:val="000000"/>
          <w:lang w:eastAsia="sk-SK" w:bidi="sk-SK"/>
        </w:rPr>
        <w:t xml:space="preserve">Ing. árch. Matúš </w:t>
      </w:r>
      <w:r>
        <w:rPr>
          <w:color w:val="000000"/>
          <w:lang w:val="es-ES" w:eastAsia="es-ES" w:bidi="es-ES"/>
        </w:rPr>
        <w:t xml:space="preserve">Vallo </w:t>
      </w:r>
    </w:p>
    <w:p w:rsidR="008F22FB" w:rsidRDefault="008F22FB" w:rsidP="008F22FB">
      <w:pPr>
        <w:pStyle w:val="Zkladntext1"/>
        <w:ind w:left="6500" w:hanging="128"/>
        <w:sectPr w:rsidR="008F22FB">
          <w:pgSz w:w="11900" w:h="16840"/>
          <w:pgMar w:top="1681" w:right="927" w:bottom="1681" w:left="2074" w:header="1253" w:footer="1253" w:gutter="0"/>
          <w:cols w:space="720"/>
          <w:noEndnote/>
          <w:docGrid w:linePitch="360"/>
        </w:sectPr>
      </w:pPr>
      <w:r>
        <w:rPr>
          <w:color w:val="000000"/>
          <w:lang w:eastAsia="sk-SK" w:bidi="sk-SK"/>
        </w:rPr>
        <w:t>Primátor</w:t>
      </w:r>
    </w:p>
    <w:p w:rsidR="008F22FB" w:rsidRDefault="008F22FB" w:rsidP="008F22FB">
      <w:pPr>
        <w:pStyle w:val="Zkladntext1"/>
        <w:spacing w:before="260" w:after="0"/>
        <w:jc w:val="center"/>
      </w:pPr>
      <w:r>
        <w:rPr>
          <w:color w:val="000000"/>
          <w:lang w:eastAsia="sk-SK" w:bidi="sk-SK"/>
        </w:rPr>
        <w:lastRenderedPageBreak/>
        <w:t>Návrh</w:t>
      </w:r>
      <w:r>
        <w:rPr>
          <w:color w:val="000000"/>
          <w:lang w:eastAsia="sk-SK" w:bidi="sk-SK"/>
        </w:rPr>
        <w:br/>
      </w:r>
      <w:r>
        <w:rPr>
          <w:b/>
          <w:bCs/>
          <w:color w:val="000000"/>
          <w:lang w:eastAsia="sk-SK" w:bidi="sk-SK"/>
        </w:rPr>
        <w:t>všeobecne záväzné nariadenie</w:t>
      </w:r>
      <w:r>
        <w:rPr>
          <w:b/>
          <w:bCs/>
          <w:color w:val="000000"/>
          <w:lang w:eastAsia="sk-SK" w:bidi="sk-SK"/>
        </w:rPr>
        <w:br/>
        <w:t>hlavného mesta Slovenskej republiky Bratislavy</w:t>
      </w:r>
      <w:r>
        <w:rPr>
          <w:b/>
          <w:bCs/>
          <w:color w:val="000000"/>
          <w:lang w:eastAsia="sk-SK" w:bidi="sk-SK"/>
        </w:rPr>
        <w:br/>
      </w:r>
      <w:r>
        <w:rPr>
          <w:color w:val="000000"/>
          <w:lang w:eastAsia="sk-SK" w:bidi="sk-SK"/>
        </w:rPr>
        <w:t>č. ... /2020</w:t>
      </w:r>
    </w:p>
    <w:p w:rsidR="008F22FB" w:rsidRDefault="008F22FB" w:rsidP="008F22FB">
      <w:pPr>
        <w:pStyle w:val="Zkladntext1"/>
        <w:tabs>
          <w:tab w:val="left" w:leader="dot" w:pos="889"/>
        </w:tabs>
        <w:spacing w:line="240" w:lineRule="auto"/>
        <w:jc w:val="center"/>
      </w:pPr>
      <w:r>
        <w:rPr>
          <w:color w:val="000000"/>
          <w:lang w:eastAsia="sk-SK" w:bidi="sk-SK"/>
        </w:rPr>
        <w:t>z</w:t>
      </w:r>
      <w:r>
        <w:rPr>
          <w:color w:val="000000"/>
          <w:lang w:eastAsia="sk-SK" w:bidi="sk-SK"/>
        </w:rPr>
        <w:tab/>
        <w:t>2020</w:t>
      </w:r>
    </w:p>
    <w:p w:rsidR="008F22FB" w:rsidRDefault="008F22FB" w:rsidP="008F22FB">
      <w:pPr>
        <w:pStyle w:val="Zhlavie10"/>
        <w:keepNext/>
        <w:keepLines/>
        <w:spacing w:line="259" w:lineRule="auto"/>
      </w:pPr>
      <w:bookmarkStart w:id="7" w:name="bookmark16"/>
      <w:r>
        <w:rPr>
          <w:color w:val="000000"/>
          <w:lang w:eastAsia="sk-SK" w:bidi="sk-SK"/>
        </w:rPr>
        <w:t>o podmienkach umiestňovania herní na území hlavného mesta Slovenskej republiky</w:t>
      </w:r>
      <w:r>
        <w:rPr>
          <w:color w:val="000000"/>
          <w:lang w:eastAsia="sk-SK" w:bidi="sk-SK"/>
        </w:rPr>
        <w:br/>
        <w:t>Bratislavy</w:t>
      </w:r>
      <w:bookmarkEnd w:id="7"/>
    </w:p>
    <w:p w:rsidR="008F22FB" w:rsidRDefault="008F22FB" w:rsidP="008F22FB">
      <w:pPr>
        <w:pStyle w:val="Zkladntext1"/>
        <w:spacing w:after="320"/>
        <w:ind w:left="140" w:firstLine="700"/>
        <w:jc w:val="both"/>
      </w:pPr>
      <w:r>
        <w:rPr>
          <w:color w:val="000000"/>
          <w:lang w:eastAsia="sk-SK" w:bidi="sk-SK"/>
        </w:rPr>
        <w:t>Mestské zastupiteľstvo hlavného mesta Slovenskej republiky Bratislavy podľa § 11 ods. 5 písm. c) zákona Slovenskej národnej rady č. 377/1990 Zb. o hlavnom meste Slovenskej republiky Bratislavy v znení neskorších predpisov a § 15 ods. 5 a ods. 16 a § 79 ods. 6 zákona č. 30/2019 Z. z. o hazardných hrách a o zmene a doplnení niektorých zákonov (ďalej len „zákon o hazardných hrách“) sa uznieslo na tomto všeobecne záväznom nariadení:</w:t>
      </w:r>
    </w:p>
    <w:p w:rsidR="008F22FB" w:rsidRDefault="008F22FB" w:rsidP="008F22FB">
      <w:pPr>
        <w:pStyle w:val="Zhlavie10"/>
        <w:keepNext/>
        <w:keepLines/>
        <w:spacing w:line="240" w:lineRule="auto"/>
      </w:pPr>
      <w:bookmarkStart w:id="8" w:name="bookmark18"/>
      <w:r>
        <w:rPr>
          <w:color w:val="000000"/>
          <w:lang w:eastAsia="sk-SK" w:bidi="sk-SK"/>
        </w:rPr>
        <w:t>§1</w:t>
      </w:r>
      <w:bookmarkEnd w:id="8"/>
    </w:p>
    <w:p w:rsidR="008F22FB" w:rsidRDefault="008F22FB" w:rsidP="008F22FB">
      <w:pPr>
        <w:pStyle w:val="Zhlavie10"/>
        <w:keepNext/>
        <w:keepLines/>
        <w:spacing w:line="240" w:lineRule="auto"/>
      </w:pPr>
      <w:r>
        <w:rPr>
          <w:color w:val="000000"/>
          <w:lang w:eastAsia="sk-SK" w:bidi="sk-SK"/>
        </w:rPr>
        <w:t>Úvodné ustanovenie</w:t>
      </w:r>
    </w:p>
    <w:p w:rsidR="008F22FB" w:rsidRDefault="008F22FB" w:rsidP="008F22FB">
      <w:pPr>
        <w:pStyle w:val="Zkladntext1"/>
        <w:spacing w:line="259" w:lineRule="auto"/>
        <w:ind w:firstLine="500"/>
      </w:pPr>
      <w:r>
        <w:rPr>
          <w:color w:val="000000"/>
          <w:lang w:eastAsia="sk-SK" w:bidi="sk-SK"/>
        </w:rPr>
        <w:t>Toto všeobecne záväzné nariadenie (ďalej len „nariadenie“) upravuje:</w:t>
      </w:r>
    </w:p>
    <w:p w:rsidR="008F22FB" w:rsidRDefault="008F22FB" w:rsidP="008F22FB">
      <w:pPr>
        <w:pStyle w:val="Zkladntext1"/>
        <w:spacing w:line="259" w:lineRule="auto"/>
        <w:ind w:left="140"/>
        <w:jc w:val="both"/>
      </w:pPr>
      <w:r>
        <w:rPr>
          <w:color w:val="000000"/>
          <w:lang w:eastAsia="sk-SK" w:bidi="sk-SK"/>
        </w:rPr>
        <w:t>podmienky umiestňovania herní na území hlavného mesta Slovenskej republiky Bratislavy (ďalej len „Bratislava“) podľa osobitného predpisu</w:t>
      </w:r>
      <w:r>
        <w:rPr>
          <w:color w:val="000000"/>
          <w:vertAlign w:val="superscript"/>
          <w:lang w:eastAsia="sk-SK" w:bidi="sk-SK"/>
        </w:rPr>
        <w:footnoteReference w:id="1"/>
      </w:r>
      <w:r>
        <w:rPr>
          <w:color w:val="000000"/>
          <w:lang w:eastAsia="sk-SK" w:bidi="sk-SK"/>
        </w:rPr>
        <w:t>)</w:t>
      </w:r>
    </w:p>
    <w:p w:rsidR="008F22FB" w:rsidRDefault="008F22FB" w:rsidP="008F22FB">
      <w:pPr>
        <w:pStyle w:val="Zhlavie10"/>
        <w:keepNext/>
        <w:keepLines/>
        <w:spacing w:line="240" w:lineRule="auto"/>
      </w:pPr>
      <w:bookmarkStart w:id="9" w:name="bookmark21"/>
      <w:r>
        <w:rPr>
          <w:color w:val="000000"/>
          <w:lang w:eastAsia="sk-SK" w:bidi="sk-SK"/>
        </w:rPr>
        <w:t>§2</w:t>
      </w:r>
      <w:bookmarkEnd w:id="9"/>
    </w:p>
    <w:p w:rsidR="008F22FB" w:rsidRDefault="008F22FB" w:rsidP="008F22FB">
      <w:pPr>
        <w:pStyle w:val="Zhlavie10"/>
        <w:keepNext/>
        <w:keepLines/>
        <w:spacing w:line="240" w:lineRule="auto"/>
      </w:pPr>
      <w:r>
        <w:rPr>
          <w:color w:val="000000"/>
          <w:lang w:eastAsia="sk-SK" w:bidi="sk-SK"/>
        </w:rPr>
        <w:t>Podmienky umiestňovania herní</w:t>
      </w:r>
    </w:p>
    <w:p w:rsidR="008F22FB" w:rsidRDefault="008F22FB" w:rsidP="008F22FB">
      <w:pPr>
        <w:pStyle w:val="Zkladntext1"/>
        <w:numPr>
          <w:ilvl w:val="0"/>
          <w:numId w:val="25"/>
        </w:numPr>
        <w:tabs>
          <w:tab w:val="left" w:pos="543"/>
        </w:tabs>
        <w:spacing w:after="0" w:line="259" w:lineRule="auto"/>
        <w:ind w:firstLine="140"/>
      </w:pPr>
      <w:r>
        <w:rPr>
          <w:color w:val="000000"/>
          <w:lang w:eastAsia="sk-SK" w:bidi="sk-SK"/>
        </w:rPr>
        <w:t>Herňu možno umiestniť len v týchto budovách</w:t>
      </w:r>
      <w:r>
        <w:rPr>
          <w:color w:val="000000"/>
          <w:vertAlign w:val="superscript"/>
          <w:lang w:eastAsia="sk-SK" w:bidi="sk-SK"/>
        </w:rPr>
        <w:footnoteReference w:id="2"/>
      </w:r>
      <w:r>
        <w:rPr>
          <w:color w:val="000000"/>
          <w:vertAlign w:val="superscript"/>
          <w:lang w:eastAsia="sk-SK" w:bidi="sk-SK"/>
        </w:rPr>
        <w:t xml:space="preserve"> </w:t>
      </w:r>
      <w:r>
        <w:rPr>
          <w:color w:val="000000"/>
          <w:vertAlign w:val="superscript"/>
          <w:lang w:eastAsia="sk-SK" w:bidi="sk-SK"/>
        </w:rPr>
        <w:footnoteReference w:id="3"/>
      </w:r>
      <w:r>
        <w:rPr>
          <w:color w:val="000000"/>
          <w:vertAlign w:val="superscript"/>
          <w:lang w:eastAsia="sk-SK" w:bidi="sk-SK"/>
        </w:rPr>
        <w:t xml:space="preserve"> </w:t>
      </w:r>
      <w:r>
        <w:rPr>
          <w:color w:val="000000"/>
          <w:vertAlign w:val="superscript"/>
          <w:lang w:eastAsia="sk-SK" w:bidi="sk-SK"/>
        </w:rPr>
        <w:footnoteReference w:id="4"/>
      </w:r>
      <w:r>
        <w:rPr>
          <w:color w:val="000000"/>
          <w:vertAlign w:val="superscript"/>
          <w:lang w:eastAsia="sk-SK" w:bidi="sk-SK"/>
        </w:rPr>
        <w:t xml:space="preserve"> </w:t>
      </w:r>
      <w:r>
        <w:rPr>
          <w:color w:val="000000"/>
          <w:vertAlign w:val="superscript"/>
          <w:lang w:eastAsia="sk-SK" w:bidi="sk-SK"/>
        </w:rPr>
        <w:footnoteReference w:id="5"/>
      </w:r>
      <w:r>
        <w:rPr>
          <w:color w:val="000000"/>
          <w:lang w:eastAsia="sk-SK" w:bidi="sk-SK"/>
        </w:rPr>
        <w:t>);</w:t>
      </w:r>
    </w:p>
    <w:p w:rsidR="008F22FB" w:rsidRDefault="008F22FB" w:rsidP="008F22FB">
      <w:pPr>
        <w:pStyle w:val="Zkladntext1"/>
        <w:numPr>
          <w:ilvl w:val="0"/>
          <w:numId w:val="26"/>
        </w:numPr>
        <w:tabs>
          <w:tab w:val="left" w:pos="928"/>
        </w:tabs>
        <w:spacing w:after="0" w:line="259" w:lineRule="auto"/>
        <w:ind w:firstLine="560"/>
      </w:pPr>
      <w:r>
        <w:rPr>
          <w:color w:val="000000"/>
          <w:lang w:eastAsia="sk-SK" w:bidi="sk-SK"/>
        </w:rPr>
        <w:t>hotely, motely a penzióny,</w:t>
      </w:r>
    </w:p>
    <w:p w:rsidR="008F22FB" w:rsidRDefault="008F22FB" w:rsidP="008F22FB">
      <w:pPr>
        <w:pStyle w:val="Zkladntext1"/>
        <w:numPr>
          <w:ilvl w:val="0"/>
          <w:numId w:val="26"/>
        </w:numPr>
        <w:tabs>
          <w:tab w:val="left" w:pos="942"/>
        </w:tabs>
        <w:spacing w:after="0" w:line="259" w:lineRule="auto"/>
        <w:ind w:firstLine="560"/>
      </w:pPr>
      <w:r>
        <w:rPr>
          <w:color w:val="000000"/>
          <w:lang w:eastAsia="sk-SK" w:bidi="sk-SK"/>
        </w:rPr>
        <w:t>budovy pre obchod a služby,</w:t>
      </w:r>
    </w:p>
    <w:p w:rsidR="008F22FB" w:rsidRDefault="008F22FB" w:rsidP="008F22FB">
      <w:pPr>
        <w:pStyle w:val="Zkladntext1"/>
        <w:numPr>
          <w:ilvl w:val="0"/>
          <w:numId w:val="26"/>
        </w:numPr>
        <w:tabs>
          <w:tab w:val="left" w:pos="928"/>
        </w:tabs>
        <w:spacing w:after="0" w:line="259" w:lineRule="auto"/>
        <w:ind w:firstLine="560"/>
      </w:pPr>
      <w:r>
        <w:rPr>
          <w:color w:val="000000"/>
          <w:lang w:eastAsia="sk-SK" w:bidi="sk-SK"/>
        </w:rPr>
        <w:t>budovy pre kultúru a na verejnú zábavu,</w:t>
      </w:r>
    </w:p>
    <w:p w:rsidR="008F22FB" w:rsidRDefault="008F22FB" w:rsidP="008F22FB">
      <w:pPr>
        <w:pStyle w:val="Zkladntext1"/>
        <w:numPr>
          <w:ilvl w:val="0"/>
          <w:numId w:val="26"/>
        </w:numPr>
        <w:tabs>
          <w:tab w:val="left" w:pos="962"/>
        </w:tabs>
        <w:spacing w:line="259" w:lineRule="auto"/>
        <w:ind w:left="940" w:hanging="360"/>
        <w:jc w:val="both"/>
      </w:pPr>
      <w:r>
        <w:rPr>
          <w:color w:val="000000"/>
          <w:lang w:eastAsia="sk-SK" w:bidi="sk-SK"/>
        </w:rPr>
        <w:t>bytové domy, ak s tým písomne vyjadrí súhlas nadpolovičná väčšina všetkých vlastníkov bytov a nebytových priestorov v bytovom dome.</w:t>
      </w:r>
    </w:p>
    <w:p w:rsidR="008F22FB" w:rsidRDefault="008F22FB" w:rsidP="008F22FB">
      <w:pPr>
        <w:pStyle w:val="Zkladntext1"/>
        <w:numPr>
          <w:ilvl w:val="0"/>
          <w:numId w:val="25"/>
        </w:numPr>
        <w:tabs>
          <w:tab w:val="left" w:pos="543"/>
        </w:tabs>
        <w:spacing w:line="259" w:lineRule="auto"/>
        <w:ind w:left="560" w:hanging="420"/>
        <w:jc w:val="both"/>
      </w:pPr>
      <w:r>
        <w:rPr>
          <w:color w:val="000000"/>
          <w:lang w:eastAsia="sk-SK" w:bidi="sk-SK"/>
        </w:rPr>
        <w:t>Herňa nesmie byť umiestnená v školách, školských zariadeniach, zariadeniach sociálnych služieb pre deti a mládež, zariadeniach sociálnoprávnej ochrany detí a sociálnej kurately, zariadeniach pre liečbu nelátkových závislostí, ubytovniach mládeže a v budovách orgánov verejnej moci.</w:t>
      </w:r>
    </w:p>
    <w:p w:rsidR="008F22FB" w:rsidRDefault="008F22FB" w:rsidP="008F22FB">
      <w:pPr>
        <w:pStyle w:val="Zkladntext1"/>
        <w:numPr>
          <w:ilvl w:val="0"/>
          <w:numId w:val="25"/>
        </w:numPr>
        <w:tabs>
          <w:tab w:val="left" w:pos="382"/>
        </w:tabs>
        <w:spacing w:line="257" w:lineRule="auto"/>
        <w:jc w:val="both"/>
      </w:pPr>
      <w:r>
        <w:rPr>
          <w:color w:val="000000"/>
          <w:lang w:eastAsia="sk-SK" w:bidi="sk-SK"/>
        </w:rPr>
        <w:t>Herňa nesmie byť umiestnená vo vzdialenosti menej ako 200 metrov od</w:t>
      </w:r>
    </w:p>
    <w:p w:rsidR="008F22FB" w:rsidRDefault="008F22FB" w:rsidP="008F22FB">
      <w:pPr>
        <w:pStyle w:val="Zkladntext1"/>
        <w:numPr>
          <w:ilvl w:val="0"/>
          <w:numId w:val="27"/>
        </w:numPr>
        <w:tabs>
          <w:tab w:val="left" w:pos="373"/>
        </w:tabs>
        <w:spacing w:after="120"/>
        <w:jc w:val="both"/>
      </w:pPr>
      <w:r>
        <w:rPr>
          <w:color w:val="000000"/>
          <w:lang w:eastAsia="sk-SK" w:bidi="sk-SK"/>
        </w:rPr>
        <w:t>školy;</w:t>
      </w:r>
      <w:r>
        <w:rPr>
          <w:color w:val="000000"/>
          <w:vertAlign w:val="superscript"/>
          <w:lang w:eastAsia="sk-SK" w:bidi="sk-SK"/>
        </w:rPr>
        <w:t>3)</w:t>
      </w:r>
      <w:r>
        <w:rPr>
          <w:color w:val="000000"/>
          <w:lang w:eastAsia="sk-SK" w:bidi="sk-SK"/>
        </w:rPr>
        <w:t xml:space="preserve"> to neplatí, ak ide o odborný výcvik, odbornú prax alebo umeleckú prax, ktorú žiak vykonáva na pracovisku zamestnávateľa alebo na pracovisku praktického vyučovania, ak sa žiak pripravuje v systéme duálneho vzdelávania,</w:t>
      </w:r>
    </w:p>
    <w:p w:rsidR="008F22FB" w:rsidRDefault="008F22FB" w:rsidP="008F22FB">
      <w:pPr>
        <w:pStyle w:val="Zkladntext1"/>
        <w:numPr>
          <w:ilvl w:val="0"/>
          <w:numId w:val="27"/>
        </w:numPr>
        <w:tabs>
          <w:tab w:val="left" w:pos="387"/>
        </w:tabs>
        <w:spacing w:after="120" w:line="257" w:lineRule="auto"/>
        <w:jc w:val="both"/>
      </w:pPr>
      <w:r>
        <w:rPr>
          <w:color w:val="000000"/>
          <w:lang w:eastAsia="sk-SK" w:bidi="sk-SK"/>
        </w:rPr>
        <w:lastRenderedPageBreak/>
        <w:t>školského zariadenia,</w:t>
      </w:r>
      <w:r>
        <w:rPr>
          <w:color w:val="000000"/>
          <w:vertAlign w:val="superscript"/>
          <w:lang w:eastAsia="sk-SK" w:bidi="sk-SK"/>
        </w:rPr>
        <w:t>4</w:t>
      </w:r>
      <w:r>
        <w:rPr>
          <w:color w:val="000000"/>
          <w:lang w:eastAsia="sk-SK" w:bidi="sk-SK"/>
        </w:rPr>
        <w:t>)</w:t>
      </w:r>
    </w:p>
    <w:p w:rsidR="008F22FB" w:rsidRDefault="008F22FB" w:rsidP="008F22FB">
      <w:pPr>
        <w:pStyle w:val="Zkladntext1"/>
        <w:numPr>
          <w:ilvl w:val="0"/>
          <w:numId w:val="27"/>
        </w:numPr>
        <w:tabs>
          <w:tab w:val="left" w:pos="368"/>
        </w:tabs>
        <w:spacing w:after="120" w:line="259" w:lineRule="auto"/>
        <w:jc w:val="both"/>
      </w:pPr>
      <w:r>
        <w:rPr>
          <w:color w:val="000000"/>
          <w:lang w:eastAsia="sk-SK" w:bidi="sk-SK"/>
        </w:rPr>
        <w:t>zariadenia sociálnych služieb pre deti a mládež, zariadenia sociálnoprávnej ochrany detí a kurately,</w:t>
      </w:r>
    </w:p>
    <w:p w:rsidR="008F22FB" w:rsidRDefault="008F22FB" w:rsidP="008F22FB">
      <w:pPr>
        <w:pStyle w:val="Zkladntext1"/>
        <w:numPr>
          <w:ilvl w:val="0"/>
          <w:numId w:val="27"/>
        </w:numPr>
        <w:tabs>
          <w:tab w:val="left" w:pos="382"/>
        </w:tabs>
        <w:spacing w:after="120" w:line="257" w:lineRule="auto"/>
        <w:jc w:val="both"/>
      </w:pPr>
      <w:r>
        <w:rPr>
          <w:color w:val="000000"/>
          <w:lang w:eastAsia="sk-SK" w:bidi="sk-SK"/>
        </w:rPr>
        <w:t>zariadenia pre liečbu nelátkových závislostí,</w:t>
      </w:r>
    </w:p>
    <w:p w:rsidR="008F22FB" w:rsidRDefault="008F22FB" w:rsidP="008F22FB">
      <w:pPr>
        <w:pStyle w:val="Zkladntext1"/>
        <w:numPr>
          <w:ilvl w:val="0"/>
          <w:numId w:val="27"/>
        </w:numPr>
        <w:tabs>
          <w:tab w:val="left" w:pos="368"/>
        </w:tabs>
        <w:spacing w:line="257" w:lineRule="auto"/>
        <w:jc w:val="both"/>
      </w:pPr>
      <w:r>
        <w:rPr>
          <w:color w:val="000000"/>
          <w:lang w:eastAsia="sk-SK" w:bidi="sk-SK"/>
        </w:rPr>
        <w:t>ubytovne mládeže.</w:t>
      </w:r>
    </w:p>
    <w:p w:rsidR="008F22FB" w:rsidRDefault="008F22FB" w:rsidP="008F22FB">
      <w:pPr>
        <w:pStyle w:val="Zkladntext1"/>
        <w:numPr>
          <w:ilvl w:val="0"/>
          <w:numId w:val="25"/>
        </w:numPr>
        <w:tabs>
          <w:tab w:val="left" w:pos="387"/>
        </w:tabs>
        <w:spacing w:line="257" w:lineRule="auto"/>
      </w:pPr>
      <w:r>
        <w:rPr>
          <w:color w:val="000000"/>
          <w:lang w:eastAsia="sk-SK" w:bidi="sk-SK"/>
        </w:rPr>
        <w:t>Herňa nesmie byť umiestnená vo vzdialenosti menej ako 200 metrov od inej herne.</w:t>
      </w:r>
    </w:p>
    <w:p w:rsidR="008F22FB" w:rsidRDefault="008F22FB" w:rsidP="008F22FB">
      <w:pPr>
        <w:pStyle w:val="Zkladntext1"/>
        <w:numPr>
          <w:ilvl w:val="0"/>
          <w:numId w:val="25"/>
        </w:numPr>
        <w:tabs>
          <w:tab w:val="left" w:pos="378"/>
        </w:tabs>
        <w:spacing w:line="257" w:lineRule="auto"/>
        <w:ind w:left="280" w:hanging="280"/>
        <w:jc w:val="both"/>
      </w:pPr>
      <w:r>
        <w:rPr>
          <w:color w:val="000000"/>
          <w:lang w:eastAsia="sk-SK" w:bidi="sk-SK"/>
        </w:rPr>
        <w:t>Vzdialenosťou sa podľa osobitného predpisu</w:t>
      </w:r>
      <w:r>
        <w:rPr>
          <w:color w:val="000000"/>
          <w:vertAlign w:val="superscript"/>
          <w:lang w:eastAsia="sk-SK" w:bidi="sk-SK"/>
        </w:rPr>
        <w:t>5</w:t>
      </w:r>
      <w:r>
        <w:rPr>
          <w:color w:val="000000"/>
          <w:lang w:eastAsia="sk-SK" w:bidi="sk-SK"/>
        </w:rPr>
        <w:t>) rozumie pochôdzková vzdialenosť medzi najbližším vchodom do herne a najbližším vchodom do inej herne, budovy, školy, školského zariadenia, zariadenia sociálnych služieb pre deti a mládež, zariadenia sociálnoprávnej ochrany detí a sociálnej kurately, zariadenia pre liečbu nelátkových závislostí a do ubytovne mládeže.</w:t>
      </w:r>
    </w:p>
    <w:p w:rsidR="008F22FB" w:rsidRDefault="008F22FB" w:rsidP="008F22FB">
      <w:pPr>
        <w:pStyle w:val="Zhlavie10"/>
        <w:keepNext/>
        <w:keepLines/>
      </w:pPr>
      <w:bookmarkStart w:id="10" w:name="bookmark24"/>
      <w:r>
        <w:rPr>
          <w:color w:val="000000"/>
          <w:lang w:eastAsia="sk-SK" w:bidi="sk-SK"/>
        </w:rPr>
        <w:t>§3</w:t>
      </w:r>
      <w:bookmarkEnd w:id="10"/>
    </w:p>
    <w:p w:rsidR="008F22FB" w:rsidRDefault="008F22FB" w:rsidP="008F22FB">
      <w:pPr>
        <w:pStyle w:val="Zhlavie10"/>
        <w:keepNext/>
        <w:keepLines/>
      </w:pPr>
      <w:r>
        <w:rPr>
          <w:color w:val="000000"/>
          <w:lang w:eastAsia="sk-SK" w:bidi="sk-SK"/>
        </w:rPr>
        <w:t>Prechodné ustanovenie</w:t>
      </w:r>
    </w:p>
    <w:p w:rsidR="008F22FB" w:rsidRDefault="008F22FB" w:rsidP="008F22FB">
      <w:pPr>
        <w:pStyle w:val="Zkladntext1"/>
        <w:spacing w:line="259" w:lineRule="auto"/>
        <w:jc w:val="both"/>
      </w:pPr>
      <w:r>
        <w:rPr>
          <w:color w:val="000000"/>
          <w:lang w:eastAsia="sk-SK" w:bidi="sk-SK"/>
        </w:rPr>
        <w:t>Prevádzkovateľ hazardnej hry je povinný počas celej doby platnosti licencie dodržiavať podmienky stanovené zákonom o hazardných hrách.</w:t>
      </w:r>
    </w:p>
    <w:p w:rsidR="008F22FB" w:rsidRDefault="008F22FB" w:rsidP="008F22FB">
      <w:pPr>
        <w:pStyle w:val="Zhlavie10"/>
        <w:keepNext/>
        <w:keepLines/>
      </w:pPr>
      <w:bookmarkStart w:id="11" w:name="bookmark27"/>
      <w:r>
        <w:rPr>
          <w:color w:val="000000"/>
          <w:lang w:eastAsia="sk-SK" w:bidi="sk-SK"/>
        </w:rPr>
        <w:t>§4</w:t>
      </w:r>
      <w:bookmarkEnd w:id="11"/>
    </w:p>
    <w:p w:rsidR="008F22FB" w:rsidRDefault="008F22FB" w:rsidP="008F22FB">
      <w:pPr>
        <w:pStyle w:val="Zhlavie10"/>
        <w:keepNext/>
        <w:keepLines/>
      </w:pPr>
      <w:r>
        <w:rPr>
          <w:color w:val="000000"/>
          <w:lang w:eastAsia="sk-SK" w:bidi="sk-SK"/>
        </w:rPr>
        <w:t>Zrušovacie ustanovenie</w:t>
      </w:r>
    </w:p>
    <w:p w:rsidR="008F22FB" w:rsidRDefault="008F22FB" w:rsidP="008F22FB">
      <w:pPr>
        <w:pStyle w:val="Zkladntext1"/>
        <w:jc w:val="both"/>
      </w:pPr>
      <w:r>
        <w:rPr>
          <w:color w:val="000000"/>
          <w:lang w:eastAsia="sk-SK" w:bidi="sk-SK"/>
        </w:rPr>
        <w:t>Zrušuje sa všeobecne záväzné nariadenie č. 12/2019 zo dňa 24. 10. 2019 o prevádzkovaní hazardných hier na území hlavného mesta Slovenskej republiky Bratislavy</w:t>
      </w:r>
    </w:p>
    <w:p w:rsidR="008F22FB" w:rsidRDefault="008F22FB" w:rsidP="008F22FB">
      <w:pPr>
        <w:pStyle w:val="Zhlavie10"/>
        <w:keepNext/>
        <w:keepLines/>
      </w:pPr>
      <w:bookmarkStart w:id="12" w:name="bookmark30"/>
      <w:r>
        <w:rPr>
          <w:color w:val="000000"/>
          <w:lang w:eastAsia="sk-SK" w:bidi="sk-SK"/>
        </w:rPr>
        <w:t>§5</w:t>
      </w:r>
      <w:bookmarkEnd w:id="12"/>
    </w:p>
    <w:p w:rsidR="008F22FB" w:rsidRDefault="008F22FB" w:rsidP="008F22FB">
      <w:pPr>
        <w:pStyle w:val="Zhlavie10"/>
        <w:keepNext/>
        <w:keepLines/>
      </w:pPr>
      <w:r>
        <w:rPr>
          <w:color w:val="000000"/>
          <w:lang w:eastAsia="sk-SK" w:bidi="sk-SK"/>
        </w:rPr>
        <w:t>Účinnosť</w:t>
      </w:r>
    </w:p>
    <w:p w:rsidR="008F22FB" w:rsidRDefault="008F22FB" w:rsidP="008F22FB">
      <w:pPr>
        <w:pStyle w:val="Zkladntext1"/>
        <w:spacing w:after="1320" w:line="257" w:lineRule="auto"/>
        <w:ind w:left="2080"/>
      </w:pPr>
      <w:r>
        <w:rPr>
          <w:color w:val="000000"/>
          <w:lang w:eastAsia="sk-SK" w:bidi="sk-SK"/>
        </w:rPr>
        <w:t>Toto nariadenie nadobúda účinnosť 1. januára 2021.</w:t>
      </w:r>
    </w:p>
    <w:p w:rsidR="008F22FB" w:rsidRDefault="008F22FB" w:rsidP="008F22FB">
      <w:pPr>
        <w:pStyle w:val="Zkladntext1"/>
        <w:ind w:left="5700" w:right="960"/>
        <w:jc w:val="center"/>
        <w:rPr>
          <w:color w:val="000000"/>
          <w:lang w:val="es-ES" w:eastAsia="es-ES" w:bidi="es-ES"/>
        </w:rPr>
      </w:pPr>
      <w:r>
        <w:rPr>
          <w:color w:val="000000"/>
          <w:lang w:eastAsia="sk-SK" w:bidi="sk-SK"/>
        </w:rPr>
        <w:t xml:space="preserve">Ing. arch. Matúš </w:t>
      </w:r>
      <w:proofErr w:type="spellStart"/>
      <w:r>
        <w:rPr>
          <w:color w:val="000000"/>
          <w:lang w:eastAsia="sk-SK" w:bidi="sk-SK"/>
        </w:rPr>
        <w:t>Vall</w:t>
      </w:r>
      <w:proofErr w:type="spellEnd"/>
      <w:r>
        <w:rPr>
          <w:color w:val="000000"/>
          <w:lang w:val="es-ES" w:eastAsia="es-ES" w:bidi="es-ES"/>
        </w:rPr>
        <w:t>o</w:t>
      </w:r>
    </w:p>
    <w:p w:rsidR="008F22FB" w:rsidRDefault="008F22FB" w:rsidP="008F22FB">
      <w:pPr>
        <w:pStyle w:val="Zkladntext1"/>
        <w:ind w:left="5700" w:right="960"/>
        <w:jc w:val="center"/>
      </w:pPr>
      <w:r>
        <w:rPr>
          <w:color w:val="000000"/>
          <w:lang w:eastAsia="sk-SK" w:bidi="sk-SK"/>
        </w:rPr>
        <w:t>primátor</w:t>
      </w:r>
    </w:p>
    <w:p w:rsidR="008F22FB" w:rsidRDefault="008F22FB" w:rsidP="008F22FB">
      <w:pPr>
        <w:autoSpaceDE w:val="0"/>
        <w:autoSpaceDN w:val="0"/>
        <w:adjustRightInd w:val="0"/>
        <w:jc w:val="center"/>
        <w:rPr>
          <w:rFonts w:eastAsiaTheme="minorHAnsi"/>
          <w:b/>
          <w:bCs/>
          <w:sz w:val="28"/>
          <w:szCs w:val="28"/>
          <w:lang w:eastAsia="en-US"/>
        </w:rPr>
      </w:pPr>
    </w:p>
    <w:p w:rsidR="008F22FB" w:rsidRDefault="008F22FB" w:rsidP="008F22FB">
      <w:pPr>
        <w:autoSpaceDE w:val="0"/>
        <w:autoSpaceDN w:val="0"/>
        <w:adjustRightInd w:val="0"/>
        <w:jc w:val="center"/>
        <w:rPr>
          <w:rFonts w:eastAsiaTheme="minorHAnsi"/>
          <w:b/>
          <w:bCs/>
          <w:sz w:val="28"/>
          <w:szCs w:val="28"/>
          <w:lang w:eastAsia="en-US"/>
        </w:rPr>
      </w:pPr>
    </w:p>
    <w:p w:rsidR="008F22FB" w:rsidRDefault="008F22FB" w:rsidP="008F22FB">
      <w:pPr>
        <w:autoSpaceDE w:val="0"/>
        <w:autoSpaceDN w:val="0"/>
        <w:adjustRightInd w:val="0"/>
        <w:jc w:val="center"/>
        <w:rPr>
          <w:rFonts w:eastAsiaTheme="minorHAnsi"/>
          <w:b/>
          <w:bCs/>
          <w:sz w:val="28"/>
          <w:szCs w:val="28"/>
          <w:lang w:eastAsia="en-US"/>
        </w:rPr>
      </w:pPr>
    </w:p>
    <w:p w:rsidR="008F22FB" w:rsidRDefault="008F22FB" w:rsidP="008F22FB">
      <w:pPr>
        <w:autoSpaceDE w:val="0"/>
        <w:autoSpaceDN w:val="0"/>
        <w:adjustRightInd w:val="0"/>
        <w:jc w:val="center"/>
        <w:rPr>
          <w:rFonts w:eastAsiaTheme="minorHAnsi"/>
          <w:b/>
          <w:bCs/>
          <w:sz w:val="28"/>
          <w:szCs w:val="28"/>
          <w:lang w:eastAsia="en-US"/>
        </w:rPr>
      </w:pPr>
    </w:p>
    <w:p w:rsidR="008F22FB" w:rsidRDefault="008F22FB" w:rsidP="008F22FB">
      <w:pPr>
        <w:autoSpaceDE w:val="0"/>
        <w:autoSpaceDN w:val="0"/>
        <w:adjustRightInd w:val="0"/>
        <w:jc w:val="center"/>
        <w:rPr>
          <w:rFonts w:eastAsiaTheme="minorHAnsi"/>
          <w:b/>
          <w:bCs/>
          <w:sz w:val="28"/>
          <w:szCs w:val="28"/>
          <w:lang w:eastAsia="en-US"/>
        </w:rPr>
      </w:pPr>
    </w:p>
    <w:p w:rsidR="008F22FB" w:rsidRDefault="008F22FB" w:rsidP="008F22FB">
      <w:pPr>
        <w:autoSpaceDE w:val="0"/>
        <w:autoSpaceDN w:val="0"/>
        <w:adjustRightInd w:val="0"/>
        <w:jc w:val="center"/>
        <w:rPr>
          <w:rFonts w:eastAsiaTheme="minorHAnsi"/>
          <w:b/>
          <w:bCs/>
          <w:sz w:val="28"/>
          <w:szCs w:val="28"/>
          <w:lang w:eastAsia="en-US"/>
        </w:rPr>
      </w:pPr>
    </w:p>
    <w:p w:rsidR="008F22FB" w:rsidRDefault="008F22FB" w:rsidP="008F22FB">
      <w:pPr>
        <w:autoSpaceDE w:val="0"/>
        <w:autoSpaceDN w:val="0"/>
        <w:adjustRightInd w:val="0"/>
        <w:jc w:val="center"/>
        <w:rPr>
          <w:rFonts w:eastAsiaTheme="minorHAnsi"/>
          <w:b/>
          <w:bCs/>
          <w:sz w:val="28"/>
          <w:szCs w:val="28"/>
          <w:lang w:eastAsia="en-US"/>
        </w:rPr>
      </w:pPr>
    </w:p>
    <w:p w:rsidR="008F22FB" w:rsidRDefault="008F22FB" w:rsidP="008F22FB">
      <w:pPr>
        <w:autoSpaceDE w:val="0"/>
        <w:autoSpaceDN w:val="0"/>
        <w:adjustRightInd w:val="0"/>
        <w:jc w:val="center"/>
        <w:rPr>
          <w:rFonts w:eastAsiaTheme="minorHAnsi"/>
          <w:b/>
          <w:bCs/>
          <w:sz w:val="28"/>
          <w:szCs w:val="28"/>
          <w:lang w:eastAsia="en-US"/>
        </w:rPr>
      </w:pPr>
    </w:p>
    <w:p w:rsidR="00187E0F" w:rsidRDefault="00187E0F" w:rsidP="00187E0F">
      <w:pPr>
        <w:spacing w:after="200" w:line="276" w:lineRule="auto"/>
        <w:jc w:val="center"/>
        <w:rPr>
          <w:rFonts w:eastAsia="Calibri"/>
          <w:lang w:eastAsia="en-US"/>
        </w:rPr>
      </w:pPr>
      <w:r w:rsidRPr="00187E0F">
        <w:rPr>
          <w:rFonts w:eastAsia="Calibri"/>
          <w:lang w:eastAsia="en-US"/>
        </w:rPr>
        <w:lastRenderedPageBreak/>
        <w:t>STANOVISKO</w:t>
      </w:r>
    </w:p>
    <w:p w:rsidR="00187E0F" w:rsidRPr="00187E0F" w:rsidRDefault="00187E0F" w:rsidP="00187E0F">
      <w:pPr>
        <w:spacing w:after="200" w:line="276" w:lineRule="auto"/>
        <w:jc w:val="center"/>
        <w:rPr>
          <w:rFonts w:eastAsia="Calibri"/>
          <w:lang w:eastAsia="en-US"/>
        </w:rPr>
      </w:pPr>
      <w:r w:rsidRPr="00187E0F">
        <w:rPr>
          <w:rFonts w:eastAsia="Calibri"/>
          <w:lang w:eastAsia="en-US"/>
        </w:rPr>
        <w:t xml:space="preserve">Miestneho zastupiteľstva mestskej časti </w:t>
      </w:r>
      <w:proofErr w:type="spellStart"/>
      <w:r w:rsidRPr="00187E0F">
        <w:rPr>
          <w:rFonts w:eastAsia="Calibri"/>
          <w:lang w:eastAsia="en-US"/>
        </w:rPr>
        <w:t>Bratislava-Petržalka</w:t>
      </w:r>
      <w:proofErr w:type="spellEnd"/>
    </w:p>
    <w:p w:rsidR="00187E0F" w:rsidRPr="00187E0F" w:rsidRDefault="00187E0F" w:rsidP="00187E0F">
      <w:pPr>
        <w:autoSpaceDE w:val="0"/>
        <w:autoSpaceDN w:val="0"/>
        <w:adjustRightInd w:val="0"/>
        <w:jc w:val="both"/>
        <w:rPr>
          <w:bCs/>
        </w:rPr>
      </w:pPr>
      <w:r w:rsidRPr="00187E0F">
        <w:rPr>
          <w:szCs w:val="20"/>
          <w:lang w:eastAsia="cs-CZ"/>
        </w:rPr>
        <w:t>k n</w:t>
      </w:r>
      <w:r w:rsidRPr="00187E0F">
        <w:rPr>
          <w:bCs/>
        </w:rPr>
        <w:t xml:space="preserve">ávrh </w:t>
      </w:r>
      <w:r w:rsidR="00DF015A">
        <w:rPr>
          <w:bCs/>
        </w:rPr>
        <w:t xml:space="preserve">rozdelenia </w:t>
      </w:r>
      <w:r w:rsidRPr="00187E0F">
        <w:rPr>
          <w:bCs/>
        </w:rPr>
        <w:t xml:space="preserve">Všeobecne záväzného nariadenia </w:t>
      </w:r>
      <w:r w:rsidRPr="00187E0F">
        <w:rPr>
          <w:rFonts w:eastAsia="Calibri"/>
          <w:bCs/>
          <w:lang w:eastAsia="en-US"/>
        </w:rPr>
        <w:t xml:space="preserve">hlavného mesta Slovenskej republiky Bratislavy č. </w:t>
      </w:r>
      <w:r w:rsidR="00DF015A">
        <w:rPr>
          <w:rFonts w:eastAsia="Calibri"/>
          <w:bCs/>
          <w:lang w:eastAsia="en-US"/>
        </w:rPr>
        <w:t>12</w:t>
      </w:r>
      <w:r w:rsidRPr="00187E0F">
        <w:rPr>
          <w:rFonts w:eastAsia="Calibri"/>
          <w:bCs/>
          <w:lang w:eastAsia="en-US"/>
        </w:rPr>
        <w:t>/2019 z</w:t>
      </w:r>
      <w:r w:rsidR="00DF015A">
        <w:rPr>
          <w:rFonts w:eastAsia="Calibri"/>
          <w:bCs/>
          <w:lang w:eastAsia="en-US"/>
        </w:rPr>
        <w:t>o dňa 24. 10</w:t>
      </w:r>
      <w:r w:rsidR="00571772">
        <w:rPr>
          <w:rFonts w:eastAsia="Calibri"/>
          <w:bCs/>
          <w:lang w:eastAsia="en-US"/>
        </w:rPr>
        <w:t>. 2019</w:t>
      </w:r>
      <w:r w:rsidRPr="00187E0F">
        <w:rPr>
          <w:rFonts w:eastAsia="Calibri"/>
          <w:bCs/>
          <w:lang w:eastAsia="en-US"/>
        </w:rPr>
        <w:t xml:space="preserve"> o prevádzkovaní hazardných hier na území hlavného mesta Slovenskej republiky Bratislavy</w:t>
      </w:r>
      <w:r w:rsidR="00DF015A">
        <w:rPr>
          <w:rFonts w:eastAsia="Calibri"/>
          <w:bCs/>
          <w:lang w:eastAsia="en-US"/>
        </w:rPr>
        <w:t xml:space="preserve"> na dve všeobecne záväzné nariadenia</w:t>
      </w:r>
    </w:p>
    <w:p w:rsidR="00187E0F" w:rsidRPr="00187E0F" w:rsidRDefault="00187E0F" w:rsidP="00187E0F">
      <w:pPr>
        <w:pBdr>
          <w:bottom w:val="single" w:sz="4" w:space="1" w:color="auto"/>
        </w:pBdr>
        <w:ind w:firstLine="709"/>
        <w:jc w:val="center"/>
        <w:rPr>
          <w:szCs w:val="20"/>
          <w:lang w:eastAsia="cs-CZ"/>
        </w:rPr>
      </w:pPr>
    </w:p>
    <w:p w:rsidR="00187E0F" w:rsidRDefault="00187E0F" w:rsidP="00187E0F">
      <w:pPr>
        <w:spacing w:after="200" w:line="276" w:lineRule="auto"/>
        <w:rPr>
          <w:rFonts w:ascii="Calibri" w:eastAsia="Calibri" w:hAnsi="Calibri"/>
          <w:lang w:eastAsia="en-US"/>
        </w:rPr>
      </w:pPr>
    </w:p>
    <w:p w:rsidR="00571772" w:rsidRDefault="00DC22E5" w:rsidP="00730E6D">
      <w:pPr>
        <w:autoSpaceDE w:val="0"/>
        <w:autoSpaceDN w:val="0"/>
        <w:adjustRightInd w:val="0"/>
        <w:ind w:firstLine="708"/>
        <w:jc w:val="both"/>
        <w:rPr>
          <w:rFonts w:eastAsiaTheme="minorHAnsi"/>
          <w:bCs/>
          <w:lang w:eastAsia="en-US"/>
        </w:rPr>
      </w:pPr>
      <w:r w:rsidRPr="00E47DBE">
        <w:rPr>
          <w:rFonts w:eastAsiaTheme="minorHAnsi"/>
          <w:bCs/>
          <w:lang w:eastAsia="en-US"/>
        </w:rPr>
        <w:t xml:space="preserve">Dňa </w:t>
      </w:r>
      <w:r w:rsidR="00DF015A">
        <w:rPr>
          <w:rFonts w:eastAsiaTheme="minorHAnsi"/>
          <w:bCs/>
          <w:lang w:eastAsia="en-US"/>
        </w:rPr>
        <w:t>30</w:t>
      </w:r>
      <w:r w:rsidRPr="00E47DBE">
        <w:rPr>
          <w:rFonts w:eastAsiaTheme="minorHAnsi"/>
          <w:bCs/>
          <w:lang w:eastAsia="en-US"/>
        </w:rPr>
        <w:t>. 0</w:t>
      </w:r>
      <w:r w:rsidR="00DF015A">
        <w:rPr>
          <w:rFonts w:eastAsiaTheme="minorHAnsi"/>
          <w:bCs/>
          <w:lang w:eastAsia="en-US"/>
        </w:rPr>
        <w:t>6</w:t>
      </w:r>
      <w:r w:rsidRPr="00E47DBE">
        <w:rPr>
          <w:rFonts w:eastAsiaTheme="minorHAnsi"/>
          <w:bCs/>
          <w:lang w:eastAsia="en-US"/>
        </w:rPr>
        <w:t>. 2</w:t>
      </w:r>
      <w:r>
        <w:rPr>
          <w:rFonts w:eastAsiaTheme="minorHAnsi"/>
          <w:bCs/>
          <w:lang w:eastAsia="en-US"/>
        </w:rPr>
        <w:t>0</w:t>
      </w:r>
      <w:r w:rsidR="00AE60C5">
        <w:rPr>
          <w:rFonts w:eastAsiaTheme="minorHAnsi"/>
          <w:bCs/>
          <w:lang w:eastAsia="en-US"/>
        </w:rPr>
        <w:t>20</w:t>
      </w:r>
      <w:r w:rsidRPr="00E47DBE">
        <w:rPr>
          <w:rFonts w:eastAsiaTheme="minorHAnsi"/>
          <w:bCs/>
          <w:lang w:eastAsia="en-US"/>
        </w:rPr>
        <w:t xml:space="preserve"> bol</w:t>
      </w:r>
      <w:r>
        <w:rPr>
          <w:rFonts w:eastAsiaTheme="minorHAnsi"/>
          <w:bCs/>
          <w:lang w:eastAsia="en-US"/>
        </w:rPr>
        <w:t xml:space="preserve">a v zmysle ustanovenia § 5 ods. 1 </w:t>
      </w:r>
      <w:r w:rsidR="00E937B0">
        <w:rPr>
          <w:rFonts w:eastAsiaTheme="minorHAnsi"/>
          <w:bCs/>
          <w:lang w:eastAsia="en-US"/>
        </w:rPr>
        <w:t>p</w:t>
      </w:r>
      <w:r>
        <w:rPr>
          <w:rFonts w:eastAsiaTheme="minorHAnsi"/>
          <w:bCs/>
          <w:lang w:eastAsia="en-US"/>
        </w:rPr>
        <w:t xml:space="preserve">ravidiel pre prípravu, schvaľovanie a vyhlasovanie všeobecne záväzných nariadení hlavného mesta Slovenskej republiky Bratislavy v znení dodatku č. 1 zo dňa 30. 09. 2004 </w:t>
      </w:r>
      <w:r w:rsidRPr="00E47DBE">
        <w:rPr>
          <w:rFonts w:eastAsiaTheme="minorHAnsi"/>
          <w:bCs/>
          <w:lang w:eastAsia="en-US"/>
        </w:rPr>
        <w:t xml:space="preserve">mestskej časti </w:t>
      </w:r>
      <w:proofErr w:type="spellStart"/>
      <w:r w:rsidRPr="00E47DBE">
        <w:rPr>
          <w:rFonts w:eastAsiaTheme="minorHAnsi"/>
          <w:bCs/>
          <w:lang w:eastAsia="en-US"/>
        </w:rPr>
        <w:t>Bratislava-Petržalka</w:t>
      </w:r>
      <w:proofErr w:type="spellEnd"/>
      <w:r w:rsidRPr="00E47DBE">
        <w:rPr>
          <w:rFonts w:eastAsiaTheme="minorHAnsi"/>
          <w:bCs/>
          <w:lang w:eastAsia="en-US"/>
        </w:rPr>
        <w:t xml:space="preserve"> </w:t>
      </w:r>
      <w:r>
        <w:rPr>
          <w:rFonts w:eastAsiaTheme="minorHAnsi"/>
          <w:bCs/>
          <w:lang w:eastAsia="en-US"/>
        </w:rPr>
        <w:t xml:space="preserve">(ďalej len „mestská časť“) </w:t>
      </w:r>
      <w:r w:rsidRPr="00E47DBE">
        <w:rPr>
          <w:rFonts w:eastAsiaTheme="minorHAnsi"/>
          <w:bCs/>
          <w:lang w:eastAsia="en-US"/>
        </w:rPr>
        <w:t>doručen</w:t>
      </w:r>
      <w:r>
        <w:rPr>
          <w:rFonts w:eastAsiaTheme="minorHAnsi"/>
          <w:bCs/>
          <w:lang w:eastAsia="en-US"/>
        </w:rPr>
        <w:t xml:space="preserve">á žiadosť hlavného mesta Slovenskej republiky o zaujatie stanoviska Miestnym zastupiteľstvom mestskej časti </w:t>
      </w:r>
      <w:proofErr w:type="spellStart"/>
      <w:r>
        <w:rPr>
          <w:rFonts w:eastAsiaTheme="minorHAnsi"/>
          <w:bCs/>
          <w:lang w:eastAsia="en-US"/>
        </w:rPr>
        <w:t>Bratislava-Petržalka</w:t>
      </w:r>
      <w:proofErr w:type="spellEnd"/>
      <w:r>
        <w:rPr>
          <w:rFonts w:eastAsiaTheme="minorHAnsi"/>
          <w:bCs/>
          <w:lang w:eastAsia="en-US"/>
        </w:rPr>
        <w:t xml:space="preserve"> (ďalej len „miestne zastupiteľstvo“) k predloženému návrhu </w:t>
      </w:r>
      <w:r w:rsidR="00571772">
        <w:rPr>
          <w:rFonts w:eastAsiaTheme="minorHAnsi"/>
          <w:bCs/>
          <w:lang w:eastAsia="en-US"/>
        </w:rPr>
        <w:t xml:space="preserve">rozdelenia </w:t>
      </w:r>
      <w:r w:rsidRPr="00E47DBE">
        <w:rPr>
          <w:bCs/>
        </w:rPr>
        <w:t xml:space="preserve">Všeobecne záväzného nariadenia </w:t>
      </w:r>
      <w:r w:rsidRPr="00E47DBE">
        <w:rPr>
          <w:rFonts w:eastAsiaTheme="minorHAnsi"/>
          <w:bCs/>
          <w:lang w:eastAsia="en-US"/>
        </w:rPr>
        <w:t xml:space="preserve">hlavného mesta Slovenskej republiky Bratislavy č. </w:t>
      </w:r>
      <w:r w:rsidR="00571772">
        <w:rPr>
          <w:rFonts w:eastAsiaTheme="minorHAnsi"/>
          <w:bCs/>
          <w:lang w:eastAsia="en-US"/>
        </w:rPr>
        <w:t>12</w:t>
      </w:r>
      <w:r w:rsidRPr="00E47DBE">
        <w:rPr>
          <w:rFonts w:eastAsiaTheme="minorHAnsi"/>
          <w:bCs/>
          <w:lang w:eastAsia="en-US"/>
        </w:rPr>
        <w:t>/2019 z</w:t>
      </w:r>
      <w:r w:rsidR="00571772">
        <w:rPr>
          <w:rFonts w:eastAsiaTheme="minorHAnsi"/>
          <w:bCs/>
          <w:lang w:eastAsia="en-US"/>
        </w:rPr>
        <w:t>o dňa 24.10.2019</w:t>
      </w:r>
      <w:r w:rsidRPr="00E47DBE">
        <w:rPr>
          <w:rFonts w:eastAsiaTheme="minorHAnsi"/>
          <w:bCs/>
          <w:lang w:eastAsia="en-US"/>
        </w:rPr>
        <w:t xml:space="preserve"> o prevádzkovaní hazardných hier na území hlavného mesta Slovenskej republiky Bratislavy</w:t>
      </w:r>
      <w:r>
        <w:rPr>
          <w:rFonts w:eastAsiaTheme="minorHAnsi"/>
          <w:bCs/>
          <w:lang w:eastAsia="en-US"/>
        </w:rPr>
        <w:t xml:space="preserve"> (ďalej len „nariadenia“)</w:t>
      </w:r>
      <w:r w:rsidR="00571772">
        <w:rPr>
          <w:rFonts w:eastAsiaTheme="minorHAnsi"/>
          <w:bCs/>
          <w:lang w:eastAsia="en-US"/>
        </w:rPr>
        <w:t xml:space="preserve"> na dve všeobecne záväzné nariadenia a to:</w:t>
      </w:r>
    </w:p>
    <w:p w:rsidR="00571772" w:rsidRDefault="00571772" w:rsidP="00730E6D">
      <w:pPr>
        <w:autoSpaceDE w:val="0"/>
        <w:autoSpaceDN w:val="0"/>
        <w:adjustRightInd w:val="0"/>
        <w:ind w:firstLine="708"/>
        <w:jc w:val="both"/>
        <w:rPr>
          <w:rFonts w:eastAsiaTheme="minorHAnsi"/>
          <w:bCs/>
          <w:lang w:eastAsia="en-US"/>
        </w:rPr>
      </w:pPr>
    </w:p>
    <w:p w:rsidR="00DC22E5" w:rsidRDefault="00571772" w:rsidP="00571772">
      <w:pPr>
        <w:pStyle w:val="Odsekzoznamu"/>
        <w:numPr>
          <w:ilvl w:val="0"/>
          <w:numId w:val="22"/>
        </w:numPr>
        <w:autoSpaceDE w:val="0"/>
        <w:autoSpaceDN w:val="0"/>
        <w:adjustRightInd w:val="0"/>
        <w:jc w:val="both"/>
        <w:rPr>
          <w:rFonts w:eastAsiaTheme="minorHAnsi"/>
          <w:bCs/>
          <w:lang w:eastAsia="en-US"/>
        </w:rPr>
      </w:pPr>
      <w:r>
        <w:rPr>
          <w:rFonts w:eastAsiaTheme="minorHAnsi"/>
          <w:bCs/>
          <w:lang w:eastAsia="en-US"/>
        </w:rPr>
        <w:t>Všeobecne záväzné nariadenie o zákaze prevádzkovania hazardných hier na území hlavného mesta Slovenskej republiky Bratislavy (§ 14 ods. 11) o zákaze prevádzkovania hazardných hier počas dní ustanovených týmto všeobecne záväzným nariadením</w:t>
      </w:r>
    </w:p>
    <w:p w:rsidR="00571772" w:rsidRDefault="00571772" w:rsidP="00571772">
      <w:pPr>
        <w:pStyle w:val="Odsekzoznamu"/>
        <w:numPr>
          <w:ilvl w:val="0"/>
          <w:numId w:val="22"/>
        </w:numPr>
        <w:autoSpaceDE w:val="0"/>
        <w:autoSpaceDN w:val="0"/>
        <w:adjustRightInd w:val="0"/>
        <w:jc w:val="both"/>
        <w:rPr>
          <w:rFonts w:eastAsiaTheme="minorHAnsi"/>
          <w:bCs/>
          <w:lang w:eastAsia="en-US"/>
        </w:rPr>
      </w:pPr>
      <w:r>
        <w:rPr>
          <w:rFonts w:eastAsiaTheme="minorHAnsi"/>
          <w:bCs/>
          <w:lang w:eastAsia="en-US"/>
        </w:rPr>
        <w:t>Všeobecne záväzné nariadenie o podmienkach umiestňovania herní na území hlavného mesta Slovenskej republiky Bratislavy podľa § 15 ods. 5 a                         § 15 ods. 16 zákona o hazardných hrách</w:t>
      </w:r>
    </w:p>
    <w:p w:rsidR="00571772" w:rsidRPr="00571772" w:rsidRDefault="00571772" w:rsidP="00571772">
      <w:pPr>
        <w:pStyle w:val="Odsekzoznamu"/>
        <w:autoSpaceDE w:val="0"/>
        <w:autoSpaceDN w:val="0"/>
        <w:adjustRightInd w:val="0"/>
        <w:ind w:left="1428"/>
        <w:jc w:val="both"/>
        <w:rPr>
          <w:rFonts w:eastAsiaTheme="minorHAnsi"/>
          <w:bCs/>
          <w:lang w:eastAsia="en-US"/>
        </w:rPr>
      </w:pPr>
    </w:p>
    <w:p w:rsidR="00DC22E5" w:rsidRDefault="00DC22E5" w:rsidP="00DC22E5">
      <w:pPr>
        <w:autoSpaceDE w:val="0"/>
        <w:autoSpaceDN w:val="0"/>
        <w:adjustRightInd w:val="0"/>
        <w:jc w:val="both"/>
        <w:rPr>
          <w:rFonts w:eastAsiaTheme="minorHAnsi"/>
          <w:bCs/>
          <w:lang w:eastAsia="en-US"/>
        </w:rPr>
      </w:pPr>
    </w:p>
    <w:p w:rsidR="00DC22E5" w:rsidRDefault="00DC22E5" w:rsidP="00DC22E5">
      <w:pPr>
        <w:autoSpaceDE w:val="0"/>
        <w:autoSpaceDN w:val="0"/>
        <w:adjustRightInd w:val="0"/>
        <w:jc w:val="both"/>
        <w:rPr>
          <w:rFonts w:eastAsiaTheme="minorHAnsi"/>
          <w:bCs/>
          <w:lang w:eastAsia="en-US"/>
        </w:rPr>
      </w:pPr>
      <w:r>
        <w:rPr>
          <w:rFonts w:eastAsiaTheme="minorHAnsi"/>
          <w:bCs/>
          <w:lang w:eastAsia="en-US"/>
        </w:rPr>
        <w:tab/>
        <w:t>Mestská časť na základe uvedenej žiadosti pripravila návrh stanoviska k predloženému návrhu nariadenia.</w:t>
      </w:r>
      <w:r w:rsidR="00000C5B">
        <w:rPr>
          <w:rFonts w:eastAsiaTheme="minorHAnsi"/>
          <w:bCs/>
          <w:lang w:eastAsia="en-US"/>
        </w:rPr>
        <w:t xml:space="preserve"> Materiál bol prerokovaný v</w:t>
      </w:r>
      <w:r w:rsidR="00071426">
        <w:rPr>
          <w:rFonts w:eastAsiaTheme="minorHAnsi"/>
          <w:bCs/>
          <w:lang w:eastAsia="en-US"/>
        </w:rPr>
        <w:t xml:space="preserve"> uvedených </w:t>
      </w:r>
      <w:r w:rsidR="00000C5B">
        <w:rPr>
          <w:rFonts w:eastAsiaTheme="minorHAnsi"/>
          <w:bCs/>
          <w:lang w:eastAsia="en-US"/>
        </w:rPr>
        <w:t>komisiách miestneho zastupiteľstva.</w:t>
      </w:r>
    </w:p>
    <w:p w:rsidR="00000C5B" w:rsidRDefault="00000C5B" w:rsidP="00DC22E5">
      <w:pPr>
        <w:autoSpaceDE w:val="0"/>
        <w:autoSpaceDN w:val="0"/>
        <w:adjustRightInd w:val="0"/>
        <w:jc w:val="both"/>
        <w:rPr>
          <w:rFonts w:eastAsiaTheme="minorHAnsi"/>
          <w:bCs/>
          <w:lang w:eastAsia="en-US"/>
        </w:rPr>
      </w:pPr>
    </w:p>
    <w:p w:rsidR="00000C5B" w:rsidRDefault="00000C5B" w:rsidP="00DC22E5">
      <w:pPr>
        <w:autoSpaceDE w:val="0"/>
        <w:autoSpaceDN w:val="0"/>
        <w:adjustRightInd w:val="0"/>
        <w:jc w:val="both"/>
        <w:rPr>
          <w:rFonts w:eastAsiaTheme="minorHAnsi"/>
          <w:bCs/>
          <w:lang w:eastAsia="en-US"/>
        </w:rPr>
      </w:pPr>
      <w:r>
        <w:rPr>
          <w:rFonts w:eastAsiaTheme="minorHAnsi"/>
          <w:bCs/>
          <w:lang w:eastAsia="en-US"/>
        </w:rPr>
        <w:tab/>
        <w:t>Materiál dňa 08. 09. 2020 prerokovala a schválila Miestna rada miestneho zastupiteľstva</w:t>
      </w:r>
      <w:r w:rsidR="00F068CD">
        <w:rPr>
          <w:rFonts w:eastAsiaTheme="minorHAnsi"/>
          <w:bCs/>
          <w:lang w:eastAsia="en-US"/>
        </w:rPr>
        <w:t xml:space="preserve"> mestskej časti </w:t>
      </w:r>
      <w:proofErr w:type="spellStart"/>
      <w:r w:rsidR="00F068CD">
        <w:rPr>
          <w:rFonts w:eastAsiaTheme="minorHAnsi"/>
          <w:bCs/>
          <w:lang w:eastAsia="en-US"/>
        </w:rPr>
        <w:t>Bratislava-Petržalka</w:t>
      </w:r>
      <w:proofErr w:type="spellEnd"/>
      <w:r>
        <w:rPr>
          <w:rFonts w:eastAsiaTheme="minorHAnsi"/>
          <w:bCs/>
          <w:lang w:eastAsia="en-US"/>
        </w:rPr>
        <w:t xml:space="preserve">. </w:t>
      </w:r>
    </w:p>
    <w:p w:rsidR="00DC22E5" w:rsidRDefault="00DC22E5" w:rsidP="00DC22E5">
      <w:pPr>
        <w:autoSpaceDE w:val="0"/>
        <w:autoSpaceDN w:val="0"/>
        <w:adjustRightInd w:val="0"/>
        <w:jc w:val="both"/>
        <w:rPr>
          <w:rFonts w:eastAsiaTheme="minorHAnsi"/>
          <w:bCs/>
          <w:lang w:eastAsia="en-US"/>
        </w:rPr>
      </w:pPr>
      <w:r>
        <w:rPr>
          <w:rFonts w:eastAsiaTheme="minorHAnsi"/>
          <w:bCs/>
          <w:lang w:eastAsia="en-US"/>
        </w:rPr>
        <w:tab/>
      </w:r>
    </w:p>
    <w:p w:rsidR="0073542C" w:rsidRPr="00187E0F" w:rsidRDefault="00DC22E5" w:rsidP="00086AD4">
      <w:pPr>
        <w:spacing w:after="200" w:line="276" w:lineRule="auto"/>
        <w:jc w:val="both"/>
        <w:rPr>
          <w:rFonts w:ascii="Calibri" w:eastAsia="Calibri" w:hAnsi="Calibri"/>
          <w:lang w:eastAsia="en-US"/>
        </w:rPr>
      </w:pPr>
      <w:r>
        <w:rPr>
          <w:rFonts w:eastAsiaTheme="minorHAnsi"/>
          <w:bCs/>
          <w:lang w:eastAsia="en-US"/>
        </w:rPr>
        <w:tab/>
        <w:t xml:space="preserve">Na základe uvedeného starosta mestskej časti </w:t>
      </w:r>
      <w:proofErr w:type="spellStart"/>
      <w:r>
        <w:rPr>
          <w:rFonts w:eastAsiaTheme="minorHAnsi"/>
          <w:bCs/>
          <w:lang w:eastAsia="en-US"/>
        </w:rPr>
        <w:t>Bratislava-Petržalka</w:t>
      </w:r>
      <w:proofErr w:type="spellEnd"/>
      <w:r>
        <w:rPr>
          <w:rFonts w:eastAsiaTheme="minorHAnsi"/>
          <w:bCs/>
          <w:lang w:eastAsia="en-US"/>
        </w:rPr>
        <w:t xml:space="preserve"> predkladá miestnemu zastupiteľstvu na schválenie uznesenie k prijatiu stanoviska k predloženému návrhu uznesenia</w:t>
      </w:r>
      <w:r w:rsidR="002153B6">
        <w:rPr>
          <w:rFonts w:eastAsiaTheme="minorHAnsi"/>
          <w:bCs/>
          <w:lang w:eastAsia="en-US"/>
        </w:rPr>
        <w:t>:</w:t>
      </w:r>
    </w:p>
    <w:p w:rsidR="00187E0F" w:rsidRDefault="002153B6" w:rsidP="00086AD4">
      <w:pPr>
        <w:autoSpaceDE w:val="0"/>
        <w:autoSpaceDN w:val="0"/>
        <w:adjustRightInd w:val="0"/>
        <w:ind w:firstLine="360"/>
        <w:jc w:val="both"/>
        <w:rPr>
          <w:rFonts w:eastAsia="Calibri"/>
          <w:bCs/>
          <w:lang w:eastAsia="en-US"/>
        </w:rPr>
      </w:pPr>
      <w:r>
        <w:rPr>
          <w:rFonts w:eastAsia="Calibri"/>
          <w:bCs/>
          <w:lang w:eastAsia="en-US"/>
        </w:rPr>
        <w:t>„</w:t>
      </w:r>
      <w:r w:rsidR="00187E0F" w:rsidRPr="00187E0F">
        <w:rPr>
          <w:rFonts w:eastAsia="Calibri"/>
          <w:bCs/>
          <w:lang w:eastAsia="en-US"/>
        </w:rPr>
        <w:t xml:space="preserve">Miestne zastupiteľstvo mestskej časti </w:t>
      </w:r>
      <w:proofErr w:type="spellStart"/>
      <w:r w:rsidR="00187E0F" w:rsidRPr="00187E0F">
        <w:rPr>
          <w:rFonts w:eastAsia="Calibri"/>
          <w:bCs/>
          <w:lang w:eastAsia="en-US"/>
        </w:rPr>
        <w:t>Bratislava-Petržalka</w:t>
      </w:r>
      <w:proofErr w:type="spellEnd"/>
      <w:r w:rsidR="00187E0F" w:rsidRPr="00187E0F">
        <w:rPr>
          <w:rFonts w:eastAsia="Calibri"/>
          <w:bCs/>
          <w:lang w:eastAsia="en-US"/>
        </w:rPr>
        <w:t xml:space="preserve"> na svojom zasadnutí dňa  </w:t>
      </w:r>
      <w:r w:rsidR="00571772">
        <w:rPr>
          <w:rFonts w:eastAsia="Calibri"/>
          <w:bCs/>
          <w:lang w:eastAsia="en-US"/>
        </w:rPr>
        <w:t xml:space="preserve">      </w:t>
      </w:r>
      <w:r w:rsidR="00730E6D">
        <w:rPr>
          <w:rFonts w:eastAsia="Calibri"/>
          <w:bCs/>
          <w:lang w:eastAsia="en-US"/>
        </w:rPr>
        <w:t>1</w:t>
      </w:r>
      <w:r w:rsidR="00571772">
        <w:rPr>
          <w:rFonts w:eastAsia="Calibri"/>
          <w:bCs/>
          <w:lang w:eastAsia="en-US"/>
        </w:rPr>
        <w:t>6</w:t>
      </w:r>
      <w:r w:rsidR="00730E6D">
        <w:rPr>
          <w:rFonts w:eastAsia="Calibri"/>
          <w:bCs/>
          <w:lang w:eastAsia="en-US"/>
        </w:rPr>
        <w:t xml:space="preserve">. </w:t>
      </w:r>
      <w:r w:rsidR="00571772">
        <w:rPr>
          <w:rFonts w:eastAsia="Calibri"/>
          <w:bCs/>
          <w:lang w:eastAsia="en-US"/>
        </w:rPr>
        <w:t xml:space="preserve">septembra 2020 </w:t>
      </w:r>
      <w:r w:rsidR="00187E0F" w:rsidRPr="00187E0F">
        <w:rPr>
          <w:rFonts w:eastAsia="Calibri"/>
          <w:bCs/>
          <w:lang w:eastAsia="en-US"/>
        </w:rPr>
        <w:t>prijalo uznesenie k stanovisku k predloženému návrhu nariadenia</w:t>
      </w:r>
      <w:r w:rsidR="00571772">
        <w:rPr>
          <w:rFonts w:eastAsia="Calibri"/>
          <w:bCs/>
          <w:lang w:eastAsia="en-US"/>
        </w:rPr>
        <w:t xml:space="preserve">, ktorým vyjadruje súhlas s rozdelením </w:t>
      </w:r>
      <w:r w:rsidR="00571772" w:rsidRPr="00187E0F">
        <w:rPr>
          <w:bCs/>
        </w:rPr>
        <w:t xml:space="preserve">Všeobecne záväzného nariadenia </w:t>
      </w:r>
      <w:r w:rsidR="00571772" w:rsidRPr="00187E0F">
        <w:rPr>
          <w:rFonts w:eastAsia="Calibri"/>
          <w:bCs/>
          <w:lang w:eastAsia="en-US"/>
        </w:rPr>
        <w:t xml:space="preserve">hlavného mesta Slovenskej republiky Bratislavy č. </w:t>
      </w:r>
      <w:r w:rsidR="00571772">
        <w:rPr>
          <w:rFonts w:eastAsia="Calibri"/>
          <w:bCs/>
          <w:lang w:eastAsia="en-US"/>
        </w:rPr>
        <w:t>12</w:t>
      </w:r>
      <w:r w:rsidR="00571772" w:rsidRPr="00187E0F">
        <w:rPr>
          <w:rFonts w:eastAsia="Calibri"/>
          <w:bCs/>
          <w:lang w:eastAsia="en-US"/>
        </w:rPr>
        <w:t>/2019 z</w:t>
      </w:r>
      <w:r w:rsidR="00571772">
        <w:rPr>
          <w:rFonts w:eastAsia="Calibri"/>
          <w:bCs/>
          <w:lang w:eastAsia="en-US"/>
        </w:rPr>
        <w:t>o dňa 24. 10. 2019</w:t>
      </w:r>
      <w:r w:rsidR="00571772" w:rsidRPr="00187E0F">
        <w:rPr>
          <w:rFonts w:eastAsia="Calibri"/>
          <w:bCs/>
          <w:lang w:eastAsia="en-US"/>
        </w:rPr>
        <w:t xml:space="preserve"> o prevádzkovaní hazardných hier na území hlavného mesta Slovenskej republiky Bratislavy</w:t>
      </w:r>
      <w:r w:rsidR="00571772">
        <w:rPr>
          <w:rFonts w:eastAsia="Calibri"/>
          <w:bCs/>
          <w:lang w:eastAsia="en-US"/>
        </w:rPr>
        <w:t xml:space="preserve"> na dve všeobecne záväzné nariadenia tak, ako je uvedené v predloženom návrhu hlavného mesta Slovenskej republiky Bratislavy.</w:t>
      </w:r>
      <w:r>
        <w:rPr>
          <w:rFonts w:eastAsia="Calibri"/>
          <w:bCs/>
          <w:lang w:eastAsia="en-US"/>
        </w:rPr>
        <w:t>“</w:t>
      </w:r>
    </w:p>
    <w:p w:rsidR="00571772" w:rsidRDefault="00571772" w:rsidP="00086AD4">
      <w:pPr>
        <w:autoSpaceDE w:val="0"/>
        <w:autoSpaceDN w:val="0"/>
        <w:adjustRightInd w:val="0"/>
        <w:ind w:firstLine="360"/>
        <w:jc w:val="both"/>
        <w:rPr>
          <w:rFonts w:eastAsia="Calibri"/>
          <w:bCs/>
          <w:lang w:eastAsia="en-US"/>
        </w:rPr>
      </w:pPr>
    </w:p>
    <w:p w:rsidR="00571772" w:rsidRDefault="00571772" w:rsidP="00086AD4">
      <w:pPr>
        <w:autoSpaceDE w:val="0"/>
        <w:autoSpaceDN w:val="0"/>
        <w:adjustRightInd w:val="0"/>
        <w:ind w:firstLine="360"/>
        <w:jc w:val="both"/>
        <w:rPr>
          <w:rFonts w:eastAsia="Calibri"/>
          <w:bCs/>
          <w:lang w:eastAsia="en-US"/>
        </w:rPr>
      </w:pPr>
    </w:p>
    <w:p w:rsidR="00ED4CBA" w:rsidRDefault="00ED4CBA" w:rsidP="00086AD4">
      <w:pPr>
        <w:autoSpaceDE w:val="0"/>
        <w:autoSpaceDN w:val="0"/>
        <w:adjustRightInd w:val="0"/>
        <w:ind w:firstLine="360"/>
        <w:jc w:val="both"/>
        <w:rPr>
          <w:rFonts w:eastAsia="Calibri"/>
          <w:bCs/>
          <w:lang w:eastAsia="en-US"/>
        </w:rPr>
      </w:pPr>
    </w:p>
    <w:p w:rsidR="00ED4CBA" w:rsidRPr="00ED4CBA" w:rsidRDefault="00ED4CBA" w:rsidP="00ED4CBA">
      <w:pPr>
        <w:rPr>
          <w:b/>
        </w:rPr>
      </w:pPr>
      <w:r w:rsidRPr="00ED4CBA">
        <w:rPr>
          <w:b/>
        </w:rPr>
        <w:lastRenderedPageBreak/>
        <w:t>Výpis z uznesení zo zasadnutia komisie športu konanej dňa 3.9.2020</w:t>
      </w:r>
    </w:p>
    <w:p w:rsidR="00ED4CBA" w:rsidRPr="00ED4CBA" w:rsidRDefault="00ED4CBA" w:rsidP="00ED4CBA">
      <w:pPr>
        <w:ind w:left="720" w:right="-108" w:hanging="720"/>
        <w:jc w:val="both"/>
      </w:pPr>
    </w:p>
    <w:p w:rsidR="00ED4CBA" w:rsidRPr="00ED4CBA" w:rsidRDefault="00ED4CBA" w:rsidP="00ED4CBA">
      <w:pPr>
        <w:ind w:left="720" w:right="-108" w:hanging="720"/>
        <w:jc w:val="both"/>
      </w:pPr>
      <w:r w:rsidRPr="00ED4CBA">
        <w:t xml:space="preserve">K bodu 5.) </w:t>
      </w:r>
    </w:p>
    <w:p w:rsidR="00ED4CBA" w:rsidRPr="00ED4CBA" w:rsidRDefault="00ED4CBA" w:rsidP="00ED4CBA">
      <w:pPr>
        <w:autoSpaceDE w:val="0"/>
        <w:autoSpaceDN w:val="0"/>
        <w:adjustRightInd w:val="0"/>
        <w:spacing w:line="276" w:lineRule="auto"/>
        <w:contextualSpacing/>
        <w:jc w:val="both"/>
        <w:rPr>
          <w:rFonts w:eastAsia="Calibri"/>
          <w:b/>
          <w:bCs/>
        </w:rPr>
      </w:pPr>
      <w:r w:rsidRPr="00ED4CBA">
        <w:rPr>
          <w:rFonts w:eastAsia="Calibri"/>
          <w:b/>
          <w:bCs/>
        </w:rPr>
        <w:t xml:space="preserve">Stanovisko mestskej časti </w:t>
      </w:r>
      <w:proofErr w:type="spellStart"/>
      <w:r w:rsidRPr="00ED4CBA">
        <w:rPr>
          <w:rFonts w:eastAsia="Calibri"/>
          <w:b/>
          <w:bCs/>
        </w:rPr>
        <w:t>Bratislava-Petržalka</w:t>
      </w:r>
      <w:proofErr w:type="spellEnd"/>
      <w:r w:rsidRPr="00ED4CBA">
        <w:rPr>
          <w:rFonts w:eastAsia="Calibri"/>
          <w:b/>
          <w:bCs/>
        </w:rPr>
        <w:t xml:space="preserve"> k návrh rozdelenia Všeobecne záväzného nariadenia č. 12/2019 hlavného mesta Slovenskej republiky Bratislavy o prevádzkovaní hazardných hier na území hlavného mesta SR Bratislavy</w:t>
      </w:r>
    </w:p>
    <w:p w:rsidR="00ED4CBA" w:rsidRPr="00ED4CBA" w:rsidRDefault="00ED4CBA" w:rsidP="00ED4CBA">
      <w:pPr>
        <w:autoSpaceDE w:val="0"/>
        <w:autoSpaceDN w:val="0"/>
        <w:adjustRightInd w:val="0"/>
        <w:spacing w:line="276" w:lineRule="auto"/>
        <w:contextualSpacing/>
        <w:jc w:val="both"/>
        <w:rPr>
          <w:rFonts w:eastAsia="Calibri"/>
          <w:b/>
        </w:rPr>
      </w:pPr>
    </w:p>
    <w:p w:rsidR="00ED4CBA" w:rsidRPr="00ED4CBA" w:rsidRDefault="00ED4CBA" w:rsidP="00ED4CBA">
      <w:pPr>
        <w:autoSpaceDE w:val="0"/>
        <w:autoSpaceDN w:val="0"/>
        <w:adjustRightInd w:val="0"/>
        <w:spacing w:line="276" w:lineRule="auto"/>
        <w:contextualSpacing/>
        <w:jc w:val="both"/>
        <w:rPr>
          <w:rFonts w:eastAsia="Calibri"/>
          <w:bCs/>
        </w:rPr>
      </w:pPr>
      <w:r w:rsidRPr="00ED4CBA">
        <w:rPr>
          <w:rFonts w:eastAsia="Calibri"/>
          <w:b/>
        </w:rPr>
        <w:t xml:space="preserve">Rozprava: </w:t>
      </w:r>
      <w:r w:rsidRPr="00ED4CBA">
        <w:rPr>
          <w:rFonts w:eastAsia="Calibri"/>
        </w:rPr>
        <w:t xml:space="preserve">materiál uviedol R. </w:t>
      </w:r>
      <w:proofErr w:type="spellStart"/>
      <w:r w:rsidRPr="00ED4CBA">
        <w:rPr>
          <w:rFonts w:eastAsia="Calibri"/>
        </w:rPr>
        <w:t>Schnurmacher</w:t>
      </w:r>
      <w:proofErr w:type="spellEnd"/>
      <w:r w:rsidRPr="00ED4CBA">
        <w:rPr>
          <w:rFonts w:eastAsia="Calibri"/>
        </w:rPr>
        <w:t xml:space="preserve">, tlmočil stanovisko p. </w:t>
      </w:r>
      <w:proofErr w:type="spellStart"/>
      <w:r w:rsidRPr="00ED4CBA">
        <w:rPr>
          <w:rFonts w:eastAsia="Calibri"/>
        </w:rPr>
        <w:t>E.Chlebeca</w:t>
      </w:r>
      <w:proofErr w:type="spellEnd"/>
      <w:r w:rsidRPr="00ED4CBA">
        <w:rPr>
          <w:rFonts w:eastAsia="Calibri"/>
        </w:rPr>
        <w:t>, ktorý sa nemohol rokovania zúčastniť a odporučil materiál schváliť.</w:t>
      </w:r>
    </w:p>
    <w:p w:rsidR="00ED4CBA" w:rsidRPr="00ED4CBA" w:rsidRDefault="00ED4CBA" w:rsidP="00ED4CBA">
      <w:pPr>
        <w:autoSpaceDE w:val="0"/>
        <w:autoSpaceDN w:val="0"/>
        <w:adjustRightInd w:val="0"/>
        <w:ind w:firstLine="708"/>
        <w:jc w:val="both"/>
        <w:rPr>
          <w:rFonts w:eastAsia="Calibri"/>
          <w:bCs/>
          <w:lang w:eastAsia="en-US"/>
        </w:rPr>
      </w:pPr>
      <w:r w:rsidRPr="00ED4CBA">
        <w:rPr>
          <w:b/>
        </w:rPr>
        <w:t>Uznesenie:</w:t>
      </w:r>
      <w:r w:rsidRPr="00ED4CBA">
        <w:t xml:space="preserve"> členovia</w:t>
      </w:r>
      <w:r w:rsidRPr="00ED4CBA">
        <w:rPr>
          <w:b/>
          <w:bCs/>
        </w:rPr>
        <w:t xml:space="preserve"> komisie športu odporúčajú Miestnemu zastupiteľstvu mestskej časti Bratislava Petržalka </w:t>
      </w:r>
      <w:r w:rsidRPr="00ED4CBA">
        <w:rPr>
          <w:bCs/>
        </w:rPr>
        <w:t>odporúčajú</w:t>
      </w:r>
      <w:r w:rsidRPr="00ED4CBA">
        <w:rPr>
          <w:b/>
          <w:bCs/>
        </w:rPr>
        <w:t xml:space="preserve"> schváliť </w:t>
      </w:r>
      <w:r w:rsidRPr="00ED4CBA">
        <w:t xml:space="preserve">predložený návrh Stanoviska miestneho zastupiteľstva mestskej časti </w:t>
      </w:r>
      <w:proofErr w:type="spellStart"/>
      <w:r w:rsidRPr="00ED4CBA">
        <w:t>Bratislava-Petržalka</w:t>
      </w:r>
      <w:proofErr w:type="spellEnd"/>
      <w:r w:rsidRPr="00ED4CBA">
        <w:t xml:space="preserve">, ktorým </w:t>
      </w:r>
      <w:r w:rsidRPr="00ED4CBA">
        <w:rPr>
          <w:rFonts w:eastAsia="Calibri"/>
          <w:bCs/>
          <w:lang w:eastAsia="en-US"/>
        </w:rPr>
        <w:t xml:space="preserve">Miestne zastupiteľstvo mestskej časti </w:t>
      </w:r>
      <w:proofErr w:type="spellStart"/>
      <w:r w:rsidRPr="00ED4CBA">
        <w:rPr>
          <w:rFonts w:eastAsia="Calibri"/>
          <w:bCs/>
          <w:lang w:eastAsia="en-US"/>
        </w:rPr>
        <w:t>Bratislava-Petržalka</w:t>
      </w:r>
      <w:proofErr w:type="spellEnd"/>
      <w:r w:rsidRPr="00ED4CBA">
        <w:rPr>
          <w:rFonts w:eastAsia="Calibri"/>
          <w:bCs/>
          <w:lang w:eastAsia="en-US"/>
        </w:rPr>
        <w:t xml:space="preserve"> na svojom zasadnutí dňa 16. septembra 2020 prijalo uznesenie, ktorým vyjadruje súhlas s rozdelením </w:t>
      </w:r>
      <w:r w:rsidRPr="00ED4CBA">
        <w:rPr>
          <w:bCs/>
        </w:rPr>
        <w:t xml:space="preserve">Všeobecne záväzného nariadenia </w:t>
      </w:r>
      <w:r w:rsidRPr="00ED4CBA">
        <w:rPr>
          <w:rFonts w:eastAsia="Calibri"/>
          <w:bCs/>
          <w:lang w:eastAsia="en-US"/>
        </w:rPr>
        <w:t>hlavného mesta Slovenskej republiky Bratislavy č. 12/2019 zo dňa 24. 10. 2019 o prevádzkovaní hazardných hier na území hlavného mesta Slovenskej republiky Bratislavy na dve všeobecne záväzné nariadenia tak, ako je uvedené v predloženom návrhu hlavného mesta Slovenskej republiky Bratislavy</w:t>
      </w:r>
      <w:r w:rsidRPr="00ED4CBA">
        <w:rPr>
          <w:rFonts w:eastAsia="Calibri"/>
          <w:b/>
          <w:bCs/>
          <w:lang w:eastAsia="en-US"/>
        </w:rPr>
        <w:t xml:space="preserve"> </w:t>
      </w:r>
      <w:r w:rsidRPr="00ED4CBA">
        <w:rPr>
          <w:rFonts w:eastAsia="Calibri"/>
          <w:bCs/>
          <w:lang w:eastAsia="en-US"/>
        </w:rPr>
        <w:t>“) a to:</w:t>
      </w:r>
    </w:p>
    <w:p w:rsidR="00ED4CBA" w:rsidRPr="00ED4CBA" w:rsidRDefault="00ED4CBA" w:rsidP="00ED4CBA">
      <w:pPr>
        <w:autoSpaceDE w:val="0"/>
        <w:autoSpaceDN w:val="0"/>
        <w:adjustRightInd w:val="0"/>
        <w:ind w:firstLine="708"/>
        <w:jc w:val="both"/>
        <w:rPr>
          <w:rFonts w:eastAsia="Calibri"/>
          <w:bCs/>
          <w:lang w:eastAsia="en-US"/>
        </w:rPr>
      </w:pPr>
    </w:p>
    <w:p w:rsidR="00ED4CBA" w:rsidRPr="00ED4CBA" w:rsidRDefault="00ED4CBA" w:rsidP="00ED4CBA">
      <w:pPr>
        <w:numPr>
          <w:ilvl w:val="0"/>
          <w:numId w:val="22"/>
        </w:numPr>
        <w:autoSpaceDE w:val="0"/>
        <w:autoSpaceDN w:val="0"/>
        <w:adjustRightInd w:val="0"/>
        <w:spacing w:after="200" w:line="276" w:lineRule="auto"/>
        <w:ind w:left="426" w:hanging="426"/>
        <w:contextualSpacing/>
        <w:jc w:val="both"/>
        <w:rPr>
          <w:rFonts w:eastAsia="Calibri"/>
          <w:bCs/>
        </w:rPr>
      </w:pPr>
      <w:r w:rsidRPr="00ED4CBA">
        <w:rPr>
          <w:rFonts w:eastAsia="Calibri"/>
          <w:bCs/>
        </w:rPr>
        <w:t>Všeobecne záväzné nariadenie o zákaze prevádzkovania hazardných hier na území hlavného mesta Slovenskej republiky Bratislavy (§ 14 ods. 11) o zákaze prevádzkovania hazardných hier počas dní ustanovených týmto všeobecne záväzným nariadením</w:t>
      </w:r>
    </w:p>
    <w:p w:rsidR="00ED4CBA" w:rsidRPr="00ED4CBA" w:rsidRDefault="00ED4CBA" w:rsidP="00ED4CBA">
      <w:pPr>
        <w:numPr>
          <w:ilvl w:val="0"/>
          <w:numId w:val="22"/>
        </w:numPr>
        <w:autoSpaceDE w:val="0"/>
        <w:autoSpaceDN w:val="0"/>
        <w:adjustRightInd w:val="0"/>
        <w:spacing w:after="200" w:line="276" w:lineRule="auto"/>
        <w:ind w:left="426" w:hanging="426"/>
        <w:contextualSpacing/>
        <w:jc w:val="both"/>
        <w:rPr>
          <w:rFonts w:eastAsia="Calibri"/>
          <w:bCs/>
        </w:rPr>
      </w:pPr>
      <w:r w:rsidRPr="00ED4CBA">
        <w:rPr>
          <w:rFonts w:eastAsia="Calibri"/>
          <w:bCs/>
        </w:rPr>
        <w:t>Všeobecne záväzné nariadenie o podmienkach umiestňovania herní na území hlavného mesta Slovenskej republiky Bratislavy podľa § 15 ods. 5 a § 15 ods. 16 zákona o hazardných hrách.</w:t>
      </w:r>
    </w:p>
    <w:p w:rsidR="00ED4CBA" w:rsidRPr="00ED4CBA" w:rsidRDefault="00ED4CBA" w:rsidP="00ED4CBA">
      <w:pPr>
        <w:tabs>
          <w:tab w:val="left" w:pos="1500"/>
        </w:tabs>
        <w:jc w:val="both"/>
        <w:rPr>
          <w:lang w:eastAsia="ar-SA"/>
        </w:rPr>
      </w:pPr>
    </w:p>
    <w:p w:rsidR="00ED4CBA" w:rsidRPr="00ED4CBA" w:rsidRDefault="00ED4CBA" w:rsidP="00ED4CBA">
      <w:pPr>
        <w:autoSpaceDE w:val="0"/>
        <w:autoSpaceDN w:val="0"/>
        <w:adjustRightInd w:val="0"/>
        <w:spacing w:line="276" w:lineRule="auto"/>
        <w:contextualSpacing/>
        <w:jc w:val="both"/>
        <w:rPr>
          <w:rFonts w:eastAsia="Calibri"/>
          <w:bCs/>
        </w:rPr>
      </w:pPr>
    </w:p>
    <w:p w:rsidR="00ED4CBA" w:rsidRPr="00ED4CBA" w:rsidRDefault="00ED4CBA" w:rsidP="00ED4CBA">
      <w:pPr>
        <w:ind w:left="993" w:hanging="993"/>
        <w:jc w:val="both"/>
        <w:rPr>
          <w:b/>
        </w:rPr>
      </w:pPr>
      <w:r w:rsidRPr="00ED4CBA">
        <w:rPr>
          <w:b/>
        </w:rPr>
        <w:t>Hlasovanie:</w:t>
      </w:r>
      <w:r w:rsidRPr="00ED4CBA">
        <w:t xml:space="preserve"> J. Fischer, S. </w:t>
      </w:r>
      <w:proofErr w:type="spellStart"/>
      <w:r w:rsidRPr="00ED4CBA">
        <w:t>Horínek</w:t>
      </w:r>
      <w:proofErr w:type="spellEnd"/>
      <w:r w:rsidRPr="00ED4CBA">
        <w:t xml:space="preserve">, R. Vančo, M. Dragun, P. </w:t>
      </w:r>
      <w:proofErr w:type="spellStart"/>
      <w:r w:rsidRPr="00ED4CBA">
        <w:t>Hochschorner</w:t>
      </w:r>
      <w:proofErr w:type="spellEnd"/>
    </w:p>
    <w:p w:rsidR="00ED4CBA" w:rsidRPr="00ED4CBA" w:rsidRDefault="00ED4CBA" w:rsidP="00ED4CBA">
      <w:pPr>
        <w:jc w:val="both"/>
      </w:pPr>
      <w:r w:rsidRPr="00ED4CBA">
        <w:t xml:space="preserve">Prítomných: </w:t>
      </w:r>
      <w:r w:rsidRPr="00ED4CBA">
        <w:tab/>
        <w:t>5</w:t>
      </w:r>
    </w:p>
    <w:p w:rsidR="00ED4CBA" w:rsidRPr="00ED4CBA" w:rsidRDefault="00ED4CBA" w:rsidP="00ED4CBA">
      <w:pPr>
        <w:jc w:val="both"/>
      </w:pPr>
      <w:r w:rsidRPr="00ED4CBA">
        <w:t xml:space="preserve">Za: </w:t>
      </w:r>
      <w:r w:rsidRPr="00ED4CBA">
        <w:tab/>
      </w:r>
      <w:r w:rsidRPr="00ED4CBA">
        <w:tab/>
        <w:t>4</w:t>
      </w:r>
    </w:p>
    <w:p w:rsidR="00ED4CBA" w:rsidRPr="00ED4CBA" w:rsidRDefault="00ED4CBA" w:rsidP="00ED4CBA">
      <w:pPr>
        <w:jc w:val="both"/>
      </w:pPr>
      <w:r w:rsidRPr="00ED4CBA">
        <w:t>Proti:</w:t>
      </w:r>
      <w:r w:rsidRPr="00ED4CBA">
        <w:tab/>
      </w:r>
      <w:r w:rsidRPr="00ED4CBA">
        <w:tab/>
        <w:t>1 (Dragun)</w:t>
      </w:r>
    </w:p>
    <w:p w:rsidR="00ED4CBA" w:rsidRPr="00ED4CBA" w:rsidRDefault="00ED4CBA" w:rsidP="00ED4CBA">
      <w:pPr>
        <w:jc w:val="both"/>
      </w:pPr>
      <w:r w:rsidRPr="00ED4CBA">
        <w:t>Zdržal:</w:t>
      </w:r>
      <w:r w:rsidRPr="00ED4CBA">
        <w:tab/>
      </w:r>
      <w:r w:rsidRPr="00ED4CBA">
        <w:tab/>
        <w:t>0</w:t>
      </w:r>
    </w:p>
    <w:p w:rsidR="00ED4CBA" w:rsidRPr="00ED4CBA" w:rsidRDefault="00ED4CBA" w:rsidP="00ED4CBA">
      <w:pPr>
        <w:jc w:val="both"/>
        <w:rPr>
          <w:b/>
        </w:rPr>
      </w:pPr>
    </w:p>
    <w:p w:rsidR="00ED4CBA" w:rsidRPr="00ED4CBA" w:rsidRDefault="00ED4CBA" w:rsidP="00ED4CBA">
      <w:pPr>
        <w:jc w:val="both"/>
      </w:pPr>
      <w:r w:rsidRPr="00ED4CBA">
        <w:rPr>
          <w:b/>
        </w:rPr>
        <w:t>Záver:</w:t>
      </w:r>
      <w:r w:rsidRPr="00ED4CBA">
        <w:t xml:space="preserve"> uznesenie bolo schválené</w:t>
      </w:r>
    </w:p>
    <w:p w:rsidR="00ED4CBA" w:rsidRPr="00ED4CBA" w:rsidRDefault="00ED4CBA" w:rsidP="00ED4CBA">
      <w:pPr>
        <w:jc w:val="both"/>
      </w:pPr>
    </w:p>
    <w:p w:rsidR="00ED4CBA" w:rsidRPr="00ED4CBA" w:rsidRDefault="00ED4CBA" w:rsidP="00ED4CBA">
      <w:pPr>
        <w:jc w:val="both"/>
      </w:pPr>
    </w:p>
    <w:p w:rsidR="00ED4CBA" w:rsidRPr="00ED4CBA" w:rsidRDefault="00ED4CBA" w:rsidP="00ED4CBA">
      <w:pPr>
        <w:ind w:left="5664" w:firstLine="708"/>
        <w:rPr>
          <w:rFonts w:eastAsiaTheme="minorHAnsi"/>
          <w:lang w:eastAsia="en-US"/>
        </w:rPr>
      </w:pPr>
      <w:r w:rsidRPr="00ED4CBA">
        <w:rPr>
          <w:rFonts w:eastAsiaTheme="minorHAnsi"/>
          <w:lang w:eastAsia="en-US"/>
        </w:rPr>
        <w:t xml:space="preserve">       Jozef Fischer  </w:t>
      </w:r>
      <w:proofErr w:type="spellStart"/>
      <w:r w:rsidRPr="00ED4CBA">
        <w:rPr>
          <w:rFonts w:eastAsiaTheme="minorHAnsi"/>
          <w:lang w:eastAsia="en-US"/>
        </w:rPr>
        <w:t>v.r</w:t>
      </w:r>
      <w:proofErr w:type="spellEnd"/>
      <w:r w:rsidRPr="00ED4CBA">
        <w:rPr>
          <w:rFonts w:eastAsiaTheme="minorHAnsi"/>
          <w:lang w:eastAsia="en-US"/>
        </w:rPr>
        <w:t>.</w:t>
      </w:r>
    </w:p>
    <w:p w:rsidR="00ED4CBA" w:rsidRPr="00ED4CBA" w:rsidRDefault="00ED4CBA" w:rsidP="00ED4CBA">
      <w:pPr>
        <w:ind w:left="5664" w:firstLine="708"/>
        <w:rPr>
          <w:rFonts w:eastAsiaTheme="minorHAnsi"/>
          <w:lang w:eastAsia="en-US"/>
        </w:rPr>
      </w:pPr>
      <w:r w:rsidRPr="00ED4CBA">
        <w:rPr>
          <w:rFonts w:eastAsiaTheme="minorHAnsi"/>
          <w:lang w:eastAsia="en-US"/>
        </w:rPr>
        <w:t xml:space="preserve">predseda športovej komisie     </w:t>
      </w:r>
    </w:p>
    <w:p w:rsidR="00ED4CBA" w:rsidRPr="00ED4CBA" w:rsidRDefault="00ED4CBA" w:rsidP="00ED4CBA">
      <w:pPr>
        <w:ind w:left="5664" w:firstLine="708"/>
        <w:rPr>
          <w:rFonts w:eastAsiaTheme="minorHAnsi"/>
          <w:lang w:eastAsia="en-US"/>
        </w:rPr>
      </w:pPr>
    </w:p>
    <w:p w:rsidR="00ED4CBA" w:rsidRPr="00ED4CBA" w:rsidRDefault="00ED4CBA" w:rsidP="00ED4CBA">
      <w:pPr>
        <w:ind w:left="5664" w:firstLine="708"/>
        <w:rPr>
          <w:rFonts w:eastAsiaTheme="minorHAnsi"/>
          <w:lang w:eastAsia="en-US"/>
        </w:rPr>
      </w:pPr>
    </w:p>
    <w:p w:rsidR="00ED4CBA" w:rsidRPr="00ED4CBA" w:rsidRDefault="00ED4CBA" w:rsidP="00ED4CBA">
      <w:pPr>
        <w:ind w:left="5664" w:firstLine="708"/>
        <w:rPr>
          <w:rFonts w:eastAsiaTheme="minorHAnsi"/>
          <w:lang w:eastAsia="en-US"/>
        </w:rPr>
      </w:pPr>
    </w:p>
    <w:p w:rsidR="00ED4CBA" w:rsidRPr="00ED4CBA" w:rsidRDefault="00ED4CBA" w:rsidP="00ED4CBA">
      <w:pPr>
        <w:rPr>
          <w:rFonts w:eastAsiaTheme="minorHAnsi"/>
          <w:lang w:eastAsia="en-US"/>
        </w:rPr>
      </w:pPr>
      <w:r w:rsidRPr="00ED4CBA">
        <w:rPr>
          <w:rFonts w:eastAsiaTheme="minorHAnsi"/>
          <w:lang w:eastAsia="en-US"/>
        </w:rPr>
        <w:t>Za správnosť:</w:t>
      </w:r>
      <w:r w:rsidRPr="00ED4CBA">
        <w:rPr>
          <w:rFonts w:eastAsiaTheme="minorHAnsi"/>
          <w:lang w:eastAsia="en-US"/>
        </w:rPr>
        <w:tab/>
        <w:t xml:space="preserve">Schnürmacher   </w:t>
      </w:r>
    </w:p>
    <w:p w:rsidR="00ED4CBA" w:rsidRPr="00ED4CBA" w:rsidRDefault="00ED4CBA" w:rsidP="00ED4CBA">
      <w:pPr>
        <w:rPr>
          <w:rFonts w:eastAsiaTheme="minorHAnsi"/>
          <w:lang w:eastAsia="en-US"/>
        </w:rPr>
      </w:pPr>
      <w:r w:rsidRPr="00ED4CBA">
        <w:rPr>
          <w:rFonts w:eastAsiaTheme="minorHAnsi"/>
          <w:lang w:eastAsia="en-US"/>
        </w:rPr>
        <w:t xml:space="preserve">V Bratislave 3.9.2020                                                                                                   </w:t>
      </w:r>
    </w:p>
    <w:p w:rsidR="00ED4CBA" w:rsidRPr="00ED4CBA" w:rsidRDefault="00ED4CBA" w:rsidP="00ED4CBA">
      <w:pPr>
        <w:spacing w:after="200" w:line="276" w:lineRule="auto"/>
        <w:rPr>
          <w:rFonts w:ascii="Calibri" w:eastAsia="Calibri" w:hAnsi="Calibri"/>
          <w:sz w:val="22"/>
          <w:szCs w:val="22"/>
          <w:lang w:eastAsia="en-US"/>
        </w:rPr>
      </w:pPr>
    </w:p>
    <w:p w:rsidR="00ED4CBA" w:rsidRPr="00ED4CBA" w:rsidRDefault="00ED4CBA" w:rsidP="00ED4CBA">
      <w:pPr>
        <w:spacing w:after="200" w:line="276" w:lineRule="auto"/>
        <w:rPr>
          <w:rFonts w:ascii="Calibri" w:eastAsia="Calibri" w:hAnsi="Calibri"/>
          <w:sz w:val="22"/>
          <w:szCs w:val="22"/>
          <w:lang w:eastAsia="en-US"/>
        </w:rPr>
      </w:pPr>
    </w:p>
    <w:p w:rsidR="00ED4CBA" w:rsidRPr="00ED4CBA" w:rsidRDefault="00ED4CBA" w:rsidP="00ED4CBA">
      <w:pPr>
        <w:spacing w:after="200" w:line="276" w:lineRule="auto"/>
        <w:rPr>
          <w:rFonts w:ascii="Calibri" w:eastAsia="Calibri" w:hAnsi="Calibri"/>
          <w:sz w:val="22"/>
          <w:szCs w:val="22"/>
          <w:lang w:eastAsia="en-US"/>
        </w:rPr>
      </w:pPr>
    </w:p>
    <w:p w:rsidR="00ED4CBA" w:rsidRPr="00ED4CBA" w:rsidRDefault="00ED4CBA" w:rsidP="00ED4CBA">
      <w:pPr>
        <w:spacing w:after="200" w:line="276" w:lineRule="auto"/>
        <w:jc w:val="center"/>
      </w:pPr>
      <w:r w:rsidRPr="00ED4CBA">
        <w:rPr>
          <w:rFonts w:eastAsia="Calibri"/>
          <w:lang w:eastAsia="en-US"/>
        </w:rPr>
        <w:lastRenderedPageBreak/>
        <w:t>Výpis z uznesenia zo zasadnutia komisie správy majetku a miestnych podnikov konaného  dňa 24. 08. 2020</w:t>
      </w:r>
    </w:p>
    <w:p w:rsidR="00ED4CBA" w:rsidRPr="00ED4CBA" w:rsidRDefault="00ED4CBA" w:rsidP="00ED4CBA">
      <w:pPr>
        <w:spacing w:after="200" w:line="276" w:lineRule="auto"/>
        <w:jc w:val="both"/>
        <w:rPr>
          <w:rFonts w:eastAsia="Calibri"/>
          <w:lang w:eastAsia="en-US"/>
        </w:rPr>
      </w:pPr>
      <w:r w:rsidRPr="00ED4CBA">
        <w:rPr>
          <w:rFonts w:eastAsia="Calibri"/>
          <w:b/>
          <w:lang w:eastAsia="en-US"/>
        </w:rPr>
        <w:t>Prítomní:</w:t>
      </w:r>
      <w:r w:rsidRPr="00ED4CBA">
        <w:rPr>
          <w:rFonts w:eastAsia="Calibri"/>
          <w:lang w:eastAsia="en-US"/>
        </w:rPr>
        <w:t xml:space="preserve"> Mgr. Ivan </w:t>
      </w:r>
      <w:proofErr w:type="spellStart"/>
      <w:r w:rsidRPr="00ED4CBA">
        <w:rPr>
          <w:rFonts w:eastAsia="Calibri"/>
          <w:lang w:eastAsia="en-US"/>
        </w:rPr>
        <w:t>Uhlár</w:t>
      </w:r>
      <w:proofErr w:type="spellEnd"/>
      <w:r w:rsidRPr="00ED4CBA">
        <w:rPr>
          <w:rFonts w:eastAsia="Calibri"/>
          <w:lang w:eastAsia="en-US"/>
        </w:rPr>
        <w:t xml:space="preserve">, Ing. Pavel Šesták,  Mgr. Lena Bočkayová, Ing. Miroslav Behul, PhD., Erich Stračina, JUDr. Henrich </w:t>
      </w:r>
      <w:proofErr w:type="spellStart"/>
      <w:r w:rsidRPr="00ED4CBA">
        <w:rPr>
          <w:rFonts w:eastAsia="Calibri"/>
          <w:lang w:eastAsia="en-US"/>
        </w:rPr>
        <w:t>Haščák</w:t>
      </w:r>
      <w:proofErr w:type="spellEnd"/>
    </w:p>
    <w:p w:rsidR="00ED4CBA" w:rsidRPr="00ED4CBA" w:rsidRDefault="00ED4CBA" w:rsidP="00ED4CBA">
      <w:pPr>
        <w:rPr>
          <w:rFonts w:eastAsia="Calibri"/>
          <w:b/>
          <w:lang w:eastAsia="en-US"/>
        </w:rPr>
      </w:pPr>
      <w:r w:rsidRPr="00ED4CBA">
        <w:rPr>
          <w:rFonts w:eastAsia="Calibri"/>
          <w:b/>
          <w:lang w:eastAsia="en-US"/>
        </w:rPr>
        <w:t>K bodu 19/ Stanovisko MU MČ k VZN hl. m. SR Bratislava k hazardným hrám</w:t>
      </w:r>
    </w:p>
    <w:p w:rsidR="00ED4CBA" w:rsidRPr="00ED4CBA" w:rsidRDefault="00ED4CBA" w:rsidP="00ED4CBA">
      <w:pPr>
        <w:rPr>
          <w:rFonts w:eastAsia="Calibri"/>
          <w:lang w:eastAsia="en-US"/>
        </w:rPr>
      </w:pPr>
      <w:r w:rsidRPr="00ED4CBA">
        <w:rPr>
          <w:rFonts w:eastAsia="Calibri"/>
          <w:lang w:eastAsia="en-US"/>
        </w:rPr>
        <w:t>Materiál uviedla Mgr. Broszová, vedúca RSMM, uviedla, že o stanovisko požiadal primátor. Podstatou zmeny je, že ide o rozdelenie VZN o hazarde na dve VZN, za účelom prípadných zmien.</w:t>
      </w:r>
    </w:p>
    <w:p w:rsidR="00ED4CBA" w:rsidRPr="00ED4CBA" w:rsidRDefault="00ED4CBA" w:rsidP="00ED4CBA">
      <w:pPr>
        <w:rPr>
          <w:rFonts w:eastAsia="Calibri"/>
          <w:lang w:eastAsia="en-US"/>
        </w:rPr>
      </w:pPr>
      <w:r w:rsidRPr="00ED4CBA">
        <w:rPr>
          <w:rFonts w:eastAsia="Calibri"/>
          <w:lang w:eastAsia="en-US"/>
        </w:rPr>
        <w:t xml:space="preserve">Komisia správy majetku a miestnych podnikov zobrala na vedomie predložený  materiál </w:t>
      </w:r>
    </w:p>
    <w:p w:rsidR="00ED4CBA" w:rsidRPr="00ED4CBA" w:rsidRDefault="00ED4CBA" w:rsidP="00ED4CBA">
      <w:pPr>
        <w:rPr>
          <w:rFonts w:eastAsia="Calibri"/>
          <w:b/>
          <w:lang w:eastAsia="en-US"/>
        </w:rPr>
      </w:pPr>
      <w:r w:rsidRPr="00ED4CBA">
        <w:rPr>
          <w:rFonts w:eastAsia="Calibri"/>
          <w:b/>
          <w:lang w:eastAsia="en-US"/>
        </w:rPr>
        <w:t>Hlasovanie:</w:t>
      </w:r>
    </w:p>
    <w:p w:rsidR="00ED4CBA" w:rsidRPr="00ED4CBA" w:rsidRDefault="00ED4CBA" w:rsidP="00ED4CBA">
      <w:pPr>
        <w:rPr>
          <w:rFonts w:eastAsia="Calibri"/>
          <w:lang w:eastAsia="en-US"/>
        </w:rPr>
      </w:pPr>
      <w:r w:rsidRPr="00ED4CBA">
        <w:rPr>
          <w:rFonts w:eastAsia="Calibri"/>
          <w:lang w:eastAsia="en-US"/>
        </w:rPr>
        <w:t>Prítomní :    6</w:t>
      </w:r>
    </w:p>
    <w:p w:rsidR="00ED4CBA" w:rsidRPr="00ED4CBA" w:rsidRDefault="00ED4CBA" w:rsidP="00ED4CBA">
      <w:pPr>
        <w:rPr>
          <w:rFonts w:eastAsia="Calibri"/>
          <w:lang w:eastAsia="en-US"/>
        </w:rPr>
      </w:pPr>
      <w:r w:rsidRPr="00ED4CBA">
        <w:rPr>
          <w:rFonts w:eastAsia="Calibri"/>
          <w:lang w:eastAsia="en-US"/>
        </w:rPr>
        <w:t>Za          :     4</w:t>
      </w:r>
      <w:r w:rsidRPr="00ED4CBA">
        <w:rPr>
          <w:rFonts w:eastAsia="Calibri"/>
          <w:lang w:eastAsia="en-US"/>
        </w:rPr>
        <w:tab/>
      </w:r>
      <w:r w:rsidRPr="00ED4CBA">
        <w:rPr>
          <w:rFonts w:eastAsia="Calibri"/>
          <w:lang w:eastAsia="en-US"/>
        </w:rPr>
        <w:tab/>
      </w:r>
    </w:p>
    <w:p w:rsidR="00ED4CBA" w:rsidRPr="00ED4CBA" w:rsidRDefault="00ED4CBA" w:rsidP="00ED4CBA">
      <w:pPr>
        <w:rPr>
          <w:rFonts w:eastAsia="Calibri"/>
          <w:lang w:eastAsia="en-US"/>
        </w:rPr>
      </w:pPr>
      <w:r w:rsidRPr="00ED4CBA">
        <w:rPr>
          <w:rFonts w:eastAsia="Calibri"/>
          <w:lang w:eastAsia="en-US"/>
        </w:rPr>
        <w:t>Proti:</w:t>
      </w:r>
      <w:r w:rsidRPr="00ED4CBA">
        <w:rPr>
          <w:rFonts w:eastAsia="Calibri"/>
          <w:lang w:eastAsia="en-US"/>
        </w:rPr>
        <w:tab/>
        <w:t xml:space="preserve">         0</w:t>
      </w:r>
    </w:p>
    <w:p w:rsidR="00ED4CBA" w:rsidRPr="00ED4CBA" w:rsidRDefault="00ED4CBA" w:rsidP="00ED4CBA">
      <w:pPr>
        <w:rPr>
          <w:rFonts w:eastAsia="Calibri"/>
          <w:lang w:eastAsia="en-US"/>
        </w:rPr>
      </w:pPr>
      <w:r w:rsidRPr="00ED4CBA">
        <w:rPr>
          <w:rFonts w:eastAsia="Calibri"/>
          <w:lang w:eastAsia="en-US"/>
        </w:rPr>
        <w:t>Zdržal sa:     2</w:t>
      </w:r>
    </w:p>
    <w:p w:rsidR="00ED4CBA" w:rsidRPr="00ED4CBA" w:rsidRDefault="00ED4CBA" w:rsidP="00ED4CBA">
      <w:pPr>
        <w:rPr>
          <w:rFonts w:eastAsia="Calibri"/>
          <w:lang w:eastAsia="en-US"/>
        </w:rPr>
      </w:pPr>
      <w:r w:rsidRPr="00ED4CBA">
        <w:rPr>
          <w:rFonts w:eastAsia="Calibri"/>
          <w:b/>
          <w:lang w:eastAsia="en-US"/>
        </w:rPr>
        <w:t>Záver:</w:t>
      </w:r>
      <w:r w:rsidRPr="00ED4CBA">
        <w:rPr>
          <w:rFonts w:eastAsia="Calibri"/>
          <w:lang w:eastAsia="en-US"/>
        </w:rPr>
        <w:t xml:space="preserve"> Uznesenie bolo schválené</w:t>
      </w:r>
    </w:p>
    <w:p w:rsidR="00ED4CBA" w:rsidRPr="00ED4CBA" w:rsidRDefault="00ED4CBA" w:rsidP="00ED4CBA">
      <w:pPr>
        <w:rPr>
          <w:rFonts w:eastAsia="Calibri"/>
          <w:lang w:eastAsia="en-US"/>
        </w:rPr>
      </w:pPr>
    </w:p>
    <w:p w:rsidR="00ED4CBA" w:rsidRPr="00ED4CBA" w:rsidRDefault="00ED4CBA" w:rsidP="00ED4CBA">
      <w:pPr>
        <w:spacing w:after="200" w:line="276" w:lineRule="auto"/>
        <w:rPr>
          <w:rFonts w:eastAsia="Calibri"/>
          <w:lang w:eastAsia="en-US"/>
        </w:rPr>
      </w:pPr>
      <w:r w:rsidRPr="00ED4CBA">
        <w:rPr>
          <w:rFonts w:eastAsia="Calibri"/>
          <w:lang w:eastAsia="en-US"/>
        </w:rPr>
        <w:t>Za správnosť: A. Broszová</w:t>
      </w:r>
      <w:r w:rsidRPr="00ED4CBA">
        <w:rPr>
          <w:rFonts w:eastAsia="Calibri"/>
          <w:lang w:eastAsia="en-US"/>
        </w:rPr>
        <w:tab/>
      </w:r>
      <w:r w:rsidRPr="00ED4CBA">
        <w:rPr>
          <w:rFonts w:eastAsia="Calibri"/>
          <w:lang w:eastAsia="en-US"/>
        </w:rPr>
        <w:tab/>
      </w:r>
      <w:r w:rsidRPr="00ED4CBA">
        <w:rPr>
          <w:rFonts w:eastAsia="Calibri"/>
          <w:lang w:eastAsia="en-US"/>
        </w:rPr>
        <w:tab/>
      </w:r>
      <w:r w:rsidRPr="00ED4CBA">
        <w:rPr>
          <w:rFonts w:eastAsia="Calibri"/>
          <w:lang w:eastAsia="en-US"/>
        </w:rPr>
        <w:tab/>
      </w:r>
      <w:r w:rsidRPr="00ED4CBA">
        <w:rPr>
          <w:rFonts w:eastAsia="Calibri"/>
          <w:lang w:eastAsia="en-US"/>
        </w:rPr>
        <w:tab/>
        <w:t>Bratislava 24. 08. 2020</w:t>
      </w:r>
    </w:p>
    <w:p w:rsidR="00ED4CBA" w:rsidRPr="00ED4CBA" w:rsidRDefault="00ED4CBA" w:rsidP="00ED4CBA">
      <w:pPr>
        <w:spacing w:after="200" w:line="276" w:lineRule="auto"/>
        <w:rPr>
          <w:rFonts w:ascii="Calibri" w:eastAsia="Calibri" w:hAnsi="Calibri"/>
          <w:sz w:val="22"/>
          <w:szCs w:val="22"/>
          <w:lang w:eastAsia="en-US"/>
        </w:rPr>
      </w:pPr>
      <w:r w:rsidRPr="00ED4CBA">
        <w:rPr>
          <w:rFonts w:eastAsia="Calibri"/>
          <w:lang w:eastAsia="en-US"/>
        </w:rPr>
        <w:t>tajomníčka komisie</w:t>
      </w:r>
    </w:p>
    <w:p w:rsidR="00ED4CBA" w:rsidRPr="00ED4CBA" w:rsidRDefault="00ED4CBA" w:rsidP="00ED4CBA">
      <w:pPr>
        <w:spacing w:after="200" w:line="276" w:lineRule="auto"/>
        <w:rPr>
          <w:rFonts w:ascii="Calibri" w:eastAsia="Calibri" w:hAnsi="Calibri"/>
          <w:sz w:val="22"/>
          <w:szCs w:val="22"/>
          <w:lang w:eastAsia="en-US"/>
        </w:rPr>
      </w:pPr>
    </w:p>
    <w:p w:rsidR="00ED4CBA" w:rsidRPr="00ED4CBA" w:rsidRDefault="00ED4CBA" w:rsidP="00ED4CBA">
      <w:pPr>
        <w:spacing w:after="200" w:line="276" w:lineRule="auto"/>
        <w:rPr>
          <w:rFonts w:ascii="Calibri" w:eastAsia="Calibri" w:hAnsi="Calibri"/>
          <w:sz w:val="22"/>
          <w:szCs w:val="22"/>
          <w:lang w:eastAsia="en-US"/>
        </w:rPr>
      </w:pPr>
    </w:p>
    <w:p w:rsidR="00ED4CBA" w:rsidRPr="00ED4CBA" w:rsidRDefault="00ED4CBA" w:rsidP="00ED4CBA">
      <w:pPr>
        <w:spacing w:after="200" w:line="276" w:lineRule="auto"/>
        <w:rPr>
          <w:rFonts w:ascii="Calibri" w:eastAsia="Calibri" w:hAnsi="Calibri"/>
          <w:sz w:val="22"/>
          <w:szCs w:val="22"/>
          <w:lang w:eastAsia="en-US"/>
        </w:rPr>
      </w:pPr>
    </w:p>
    <w:p w:rsidR="00ED4CBA" w:rsidRDefault="00ED4CBA" w:rsidP="00086AD4">
      <w:pPr>
        <w:autoSpaceDE w:val="0"/>
        <w:autoSpaceDN w:val="0"/>
        <w:adjustRightInd w:val="0"/>
        <w:ind w:firstLine="360"/>
        <w:jc w:val="both"/>
        <w:rPr>
          <w:rFonts w:eastAsia="Calibri"/>
          <w:bCs/>
          <w:lang w:eastAsia="en-US"/>
        </w:rPr>
      </w:pPr>
    </w:p>
    <w:p w:rsidR="00571772" w:rsidRDefault="00571772" w:rsidP="00086AD4">
      <w:pPr>
        <w:autoSpaceDE w:val="0"/>
        <w:autoSpaceDN w:val="0"/>
        <w:adjustRightInd w:val="0"/>
        <w:ind w:firstLine="360"/>
        <w:jc w:val="both"/>
        <w:rPr>
          <w:rFonts w:eastAsia="Calibri"/>
          <w:bCs/>
          <w:lang w:eastAsia="en-US"/>
        </w:rPr>
      </w:pPr>
    </w:p>
    <w:sectPr w:rsidR="0057177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52" w:rsidRDefault="00501152" w:rsidP="00183C4B">
      <w:r>
        <w:separator/>
      </w:r>
    </w:p>
  </w:endnote>
  <w:endnote w:type="continuationSeparator" w:id="0">
    <w:p w:rsidR="00501152" w:rsidRDefault="00501152" w:rsidP="0018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85013"/>
      <w:docPartObj>
        <w:docPartGallery w:val="Page Numbers (Bottom of Page)"/>
        <w:docPartUnique/>
      </w:docPartObj>
    </w:sdtPr>
    <w:sdtEndPr/>
    <w:sdtContent>
      <w:p w:rsidR="00AD0D19" w:rsidRDefault="00AD0D19">
        <w:pPr>
          <w:pStyle w:val="Pta"/>
          <w:jc w:val="center"/>
        </w:pPr>
        <w:r>
          <w:fldChar w:fldCharType="begin"/>
        </w:r>
        <w:r>
          <w:instrText>PAGE   \* MERGEFORMAT</w:instrText>
        </w:r>
        <w:r>
          <w:fldChar w:fldCharType="separate"/>
        </w:r>
        <w:r w:rsidR="00F96B03">
          <w:rPr>
            <w:noProof/>
          </w:rPr>
          <w:t>11</w:t>
        </w:r>
        <w:r>
          <w:fldChar w:fldCharType="end"/>
        </w:r>
      </w:p>
    </w:sdtContent>
  </w:sdt>
  <w:p w:rsidR="00AD0D19" w:rsidRDefault="00AD0D1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52" w:rsidRDefault="00501152" w:rsidP="00183C4B">
      <w:r>
        <w:separator/>
      </w:r>
    </w:p>
  </w:footnote>
  <w:footnote w:type="continuationSeparator" w:id="0">
    <w:p w:rsidR="00501152" w:rsidRDefault="00501152" w:rsidP="00183C4B">
      <w:r>
        <w:continuationSeparator/>
      </w:r>
    </w:p>
  </w:footnote>
  <w:footnote w:id="1">
    <w:p w:rsidR="008F22FB" w:rsidRDefault="008F22FB" w:rsidP="008F22FB">
      <w:pPr>
        <w:pStyle w:val="Poznmkapodiarou0"/>
        <w:ind w:left="160" w:firstLine="0"/>
      </w:pPr>
      <w:r>
        <w:rPr>
          <w:color w:val="000000"/>
          <w:vertAlign w:val="superscript"/>
          <w:lang w:eastAsia="sk-SK" w:bidi="sk-SK"/>
        </w:rPr>
        <w:t>1</w:t>
      </w:r>
      <w:r>
        <w:rPr>
          <w:color w:val="000000"/>
          <w:lang w:eastAsia="sk-SK" w:bidi="sk-SK"/>
        </w:rPr>
        <w:t xml:space="preserve"> &gt; § 15 ods. 5 a § 15 ods. 16 zákona č. 30/2019 Z. z. o hazardných hrách a o zmene a doplnení niektorých zákonov</w:t>
      </w:r>
    </w:p>
  </w:footnote>
  <w:footnote w:id="2">
    <w:p w:rsidR="008F22FB" w:rsidRDefault="008F22FB" w:rsidP="008F22FB">
      <w:pPr>
        <w:pStyle w:val="Poznmkapodiarou0"/>
        <w:ind w:left="0" w:firstLine="140"/>
      </w:pPr>
      <w:r>
        <w:rPr>
          <w:color w:val="000000"/>
          <w:vertAlign w:val="superscript"/>
          <w:lang w:eastAsia="sk-SK" w:bidi="sk-SK"/>
        </w:rPr>
        <w:t>2</w:t>
      </w:r>
      <w:r>
        <w:rPr>
          <w:color w:val="000000"/>
          <w:lang w:eastAsia="sk-SK" w:bidi="sk-SK"/>
        </w:rPr>
        <w:t xml:space="preserve">&gt; § 43b a 43c zákona č. 50/1976 Zb. v znení zákona č. 237/2000 </w:t>
      </w:r>
      <w:proofErr w:type="spellStart"/>
      <w:r>
        <w:rPr>
          <w:color w:val="000000"/>
          <w:lang w:eastAsia="sk-SK" w:bidi="sk-SK"/>
        </w:rPr>
        <w:t>Z.z</w:t>
      </w:r>
      <w:proofErr w:type="spellEnd"/>
      <w:r>
        <w:rPr>
          <w:color w:val="000000"/>
          <w:lang w:eastAsia="sk-SK" w:bidi="sk-SK"/>
        </w:rPr>
        <w:t>.</w:t>
      </w:r>
    </w:p>
  </w:footnote>
  <w:footnote w:id="3">
    <w:p w:rsidR="008F22FB" w:rsidRDefault="008F22FB" w:rsidP="008F22FB">
      <w:pPr>
        <w:pStyle w:val="Poznmkapodiarou0"/>
        <w:ind w:left="160" w:firstLine="0"/>
      </w:pPr>
      <w:r>
        <w:rPr>
          <w:color w:val="000000"/>
          <w:vertAlign w:val="superscript"/>
          <w:lang w:eastAsia="sk-SK" w:bidi="sk-SK"/>
        </w:rPr>
        <w:footnoteRef/>
      </w:r>
      <w:r>
        <w:rPr>
          <w:color w:val="000000"/>
          <w:lang w:eastAsia="sk-SK" w:bidi="sk-SK"/>
        </w:rPr>
        <w:t xml:space="preserve"> </w:t>
      </w:r>
      <w:r>
        <w:rPr>
          <w:color w:val="000000"/>
          <w:lang w:eastAsia="sk-SK" w:bidi="sk-SK"/>
        </w:rPr>
        <w:t>§ 27 ods. 2 zákona č. 245/2008 Z. z. o výchove a vzdelávaní (školský zákon) a o zmene a doplnení niektorých</w:t>
      </w:r>
    </w:p>
    <w:p w:rsidR="008F22FB" w:rsidRDefault="008F22FB" w:rsidP="008F22FB">
      <w:pPr>
        <w:pStyle w:val="Poznmkapodiarou0"/>
        <w:ind w:left="0" w:firstLine="300"/>
      </w:pPr>
      <w:r>
        <w:rPr>
          <w:color w:val="000000"/>
          <w:lang w:eastAsia="sk-SK" w:bidi="sk-SK"/>
        </w:rPr>
        <w:t>zákonov v znení neskorších predpisov.</w:t>
      </w:r>
    </w:p>
  </w:footnote>
  <w:footnote w:id="4">
    <w:p w:rsidR="008F22FB" w:rsidRDefault="008F22FB" w:rsidP="008F22FB">
      <w:pPr>
        <w:pStyle w:val="Poznmkapodiarou0"/>
      </w:pPr>
      <w:r>
        <w:rPr>
          <w:color w:val="000000"/>
          <w:vertAlign w:val="superscript"/>
          <w:lang w:eastAsia="sk-SK" w:bidi="sk-SK"/>
        </w:rPr>
        <w:footnoteRef/>
      </w:r>
      <w:r>
        <w:rPr>
          <w:color w:val="000000"/>
          <w:lang w:eastAsia="sk-SK" w:bidi="sk-SK"/>
        </w:rPr>
        <w:t xml:space="preserve"> </w:t>
      </w:r>
      <w:r>
        <w:rPr>
          <w:color w:val="000000"/>
          <w:lang w:eastAsia="sk-SK" w:bidi="sk-SK"/>
        </w:rPr>
        <w:t>§ 113, § 120 a § 137 písm. a) a b) zákona č. 245/2008 Z. z. o výchove a vzdelávaní (školský zákon) a o zmene</w:t>
      </w:r>
    </w:p>
    <w:p w:rsidR="008F22FB" w:rsidRDefault="008F22FB" w:rsidP="008F22FB">
      <w:pPr>
        <w:pStyle w:val="Poznmkapodiarou0"/>
        <w:ind w:left="0" w:firstLine="320"/>
      </w:pPr>
      <w:r>
        <w:rPr>
          <w:color w:val="000000"/>
          <w:lang w:eastAsia="sk-SK" w:bidi="sk-SK"/>
        </w:rPr>
        <w:t>a doplnení niektorých zákonov v znení neskorších predpisov.</w:t>
      </w:r>
    </w:p>
  </w:footnote>
  <w:footnote w:id="5">
    <w:p w:rsidR="008F22FB" w:rsidRDefault="008F22FB" w:rsidP="008F22FB">
      <w:pPr>
        <w:pStyle w:val="Poznmkapodiarou0"/>
        <w:ind w:left="0" w:firstLine="160"/>
        <w:jc w:val="both"/>
      </w:pPr>
      <w:r>
        <w:rPr>
          <w:color w:val="000000"/>
          <w:vertAlign w:val="superscript"/>
          <w:lang w:eastAsia="sk-SK" w:bidi="sk-SK"/>
        </w:rPr>
        <w:footnoteRef/>
      </w:r>
      <w:r>
        <w:rPr>
          <w:color w:val="000000"/>
          <w:lang w:eastAsia="sk-SK" w:bidi="sk-SK"/>
        </w:rPr>
        <w:t xml:space="preserve"> </w:t>
      </w:r>
      <w:r>
        <w:rPr>
          <w:color w:val="000000"/>
          <w:lang w:eastAsia="sk-SK" w:bidi="sk-SK"/>
        </w:rPr>
        <w:t xml:space="preserve">§ 17 </w:t>
      </w:r>
      <w:proofErr w:type="spellStart"/>
      <w:r>
        <w:rPr>
          <w:color w:val="000000"/>
          <w:lang w:eastAsia="sk-SK" w:bidi="sk-SK"/>
        </w:rPr>
        <w:t>ods</w:t>
      </w:r>
      <w:proofErr w:type="spellEnd"/>
      <w:r>
        <w:rPr>
          <w:color w:val="000000"/>
          <w:lang w:eastAsia="sk-SK" w:bidi="sk-SK"/>
        </w:rPr>
        <w:t xml:space="preserve"> 1 písm. a) zákona č. 157/2018 </w:t>
      </w:r>
      <w:proofErr w:type="spellStart"/>
      <w:r>
        <w:rPr>
          <w:color w:val="000000"/>
          <w:lang w:eastAsia="sk-SK" w:bidi="sk-SK"/>
        </w:rPr>
        <w:t>Z.z</w:t>
      </w:r>
      <w:proofErr w:type="spellEnd"/>
      <w:r>
        <w:rPr>
          <w:color w:val="000000"/>
          <w:lang w:eastAsia="sk-SK" w:bidi="sk-SK"/>
        </w:rPr>
        <w:t>. o metrológii a o zmene a doplnení niektorých zákonov.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3D3F03"/>
    <w:multiLevelType w:val="hybridMultilevel"/>
    <w:tmpl w:val="0FF80D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BD3346"/>
    <w:multiLevelType w:val="multilevel"/>
    <w:tmpl w:val="5E4E5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030D5"/>
    <w:multiLevelType w:val="hybridMultilevel"/>
    <w:tmpl w:val="331C225C"/>
    <w:lvl w:ilvl="0" w:tplc="DA5A5498">
      <w:start w:val="1"/>
      <w:numFmt w:val="lowerLetter"/>
      <w:lvlText w:val="%1)"/>
      <w:lvlJc w:val="left"/>
      <w:pPr>
        <w:ind w:left="750" w:hanging="390"/>
      </w:pPr>
    </w:lvl>
    <w:lvl w:ilvl="1" w:tplc="AE5C7296">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E71428E"/>
    <w:multiLevelType w:val="hybridMultilevel"/>
    <w:tmpl w:val="DEA87B8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12CC5BB0"/>
    <w:multiLevelType w:val="multilevel"/>
    <w:tmpl w:val="8D465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665FFB"/>
    <w:multiLevelType w:val="multilevel"/>
    <w:tmpl w:val="BEF42DF2"/>
    <w:lvl w:ilvl="0">
      <w:start w:val="1"/>
      <w:numFmt w:val="decimal"/>
      <w:lvlText w:val="%1."/>
      <w:lvlJc w:val="left"/>
      <w:pPr>
        <w:tabs>
          <w:tab w:val="num" w:pos="720"/>
        </w:tabs>
        <w:ind w:left="720" w:hanging="360"/>
      </w:pPr>
    </w:lvl>
    <w:lvl w:ilvl="1">
      <w:start w:val="1"/>
      <w:numFmt w:val="lowerLetter"/>
      <w:lvlText w:val="%2)"/>
      <w:lvlJc w:val="left"/>
      <w:pPr>
        <w:ind w:left="1470" w:hanging="39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6C3742"/>
    <w:multiLevelType w:val="hybridMultilevel"/>
    <w:tmpl w:val="1D12BBC8"/>
    <w:lvl w:ilvl="0" w:tplc="56F6960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BB4796"/>
    <w:multiLevelType w:val="hybridMultilevel"/>
    <w:tmpl w:val="9120247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59A2C13"/>
    <w:multiLevelType w:val="multilevel"/>
    <w:tmpl w:val="36EEB8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24774D"/>
    <w:multiLevelType w:val="hybridMultilevel"/>
    <w:tmpl w:val="0D7CBA1E"/>
    <w:lvl w:ilvl="0" w:tplc="37BCAA20">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nsid w:val="35681421"/>
    <w:multiLevelType w:val="hybridMultilevel"/>
    <w:tmpl w:val="F3103D38"/>
    <w:lvl w:ilvl="0" w:tplc="3AE4B7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57D4176"/>
    <w:multiLevelType w:val="hybridMultilevel"/>
    <w:tmpl w:val="21A2B8AA"/>
    <w:lvl w:ilvl="0" w:tplc="834C6EDE">
      <w:start w:val="1"/>
      <w:numFmt w:val="lowerLetter"/>
      <w:lvlText w:val="%1)"/>
      <w:lvlJc w:val="left"/>
      <w:pPr>
        <w:ind w:left="750" w:hanging="39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BB1395B"/>
    <w:multiLevelType w:val="hybridMultilevel"/>
    <w:tmpl w:val="56AA3AF2"/>
    <w:lvl w:ilvl="0" w:tplc="3AE4B7F8">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02E558E"/>
    <w:multiLevelType w:val="hybridMultilevel"/>
    <w:tmpl w:val="D4F207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18C4B53"/>
    <w:multiLevelType w:val="hybridMultilevel"/>
    <w:tmpl w:val="D44C1620"/>
    <w:lvl w:ilvl="0" w:tplc="834C6EDE">
      <w:start w:val="1"/>
      <w:numFmt w:val="lowerLetter"/>
      <w:lvlText w:val="%1)"/>
      <w:lvlJc w:val="left"/>
      <w:pPr>
        <w:ind w:left="750" w:hanging="39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4A986E7D"/>
    <w:multiLevelType w:val="multilevel"/>
    <w:tmpl w:val="05A28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7A2169"/>
    <w:multiLevelType w:val="hybridMultilevel"/>
    <w:tmpl w:val="AF6E7EA8"/>
    <w:lvl w:ilvl="0" w:tplc="A1E69D80">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nsid w:val="4EDD38DF"/>
    <w:multiLevelType w:val="hybridMultilevel"/>
    <w:tmpl w:val="1082A66E"/>
    <w:lvl w:ilvl="0" w:tplc="DA5A5498">
      <w:start w:val="1"/>
      <w:numFmt w:val="lowerLetter"/>
      <w:lvlText w:val="%1)"/>
      <w:lvlJc w:val="left"/>
      <w:pPr>
        <w:ind w:left="750" w:hanging="39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53C20BD2"/>
    <w:multiLevelType w:val="hybridMultilevel"/>
    <w:tmpl w:val="3F8A14D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5B141CE"/>
    <w:multiLevelType w:val="hybridMultilevel"/>
    <w:tmpl w:val="72AEF89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8DE0A3E"/>
    <w:multiLevelType w:val="hybridMultilevel"/>
    <w:tmpl w:val="190639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EC454D4"/>
    <w:multiLevelType w:val="hybridMultilevel"/>
    <w:tmpl w:val="4470011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3">
    <w:nsid w:val="657D3A0A"/>
    <w:multiLevelType w:val="hybridMultilevel"/>
    <w:tmpl w:val="C5806E22"/>
    <w:lvl w:ilvl="0" w:tplc="8E2A7206">
      <w:start w:val="1"/>
      <w:numFmt w:val="lowerLetter"/>
      <w:lvlText w:val="%1)"/>
      <w:lvlJc w:val="left"/>
      <w:pPr>
        <w:ind w:left="810" w:hanging="39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24">
    <w:nsid w:val="7004097D"/>
    <w:multiLevelType w:val="hybridMultilevel"/>
    <w:tmpl w:val="58144B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1DC4EA0"/>
    <w:multiLevelType w:val="multilevel"/>
    <w:tmpl w:val="2FA09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AC1479"/>
    <w:multiLevelType w:val="multilevel"/>
    <w:tmpl w:val="FF76D9B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
  </w:num>
  <w:num w:numId="12">
    <w:abstractNumId w:val="20"/>
  </w:num>
  <w:num w:numId="13">
    <w:abstractNumId w:val="8"/>
  </w:num>
  <w:num w:numId="14">
    <w:abstractNumId w:val="10"/>
  </w:num>
  <w:num w:numId="15">
    <w:abstractNumId w:val="22"/>
  </w:num>
  <w:num w:numId="16">
    <w:abstractNumId w:val="14"/>
  </w:num>
  <w:num w:numId="17">
    <w:abstractNumId w:val="21"/>
  </w:num>
  <w:num w:numId="18">
    <w:abstractNumId w:val="13"/>
  </w:num>
  <w:num w:numId="19">
    <w:abstractNumId w:val="11"/>
  </w:num>
  <w:num w:numId="20">
    <w:abstractNumId w:val="7"/>
  </w:num>
  <w:num w:numId="21">
    <w:abstractNumId w:val="24"/>
  </w:num>
  <w:num w:numId="22">
    <w:abstractNumId w:val="4"/>
  </w:num>
  <w:num w:numId="23">
    <w:abstractNumId w:val="2"/>
  </w:num>
  <w:num w:numId="24">
    <w:abstractNumId w:val="16"/>
  </w:num>
  <w:num w:numId="25">
    <w:abstractNumId w:val="25"/>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4B"/>
    <w:rsid w:val="00000022"/>
    <w:rsid w:val="00000C5B"/>
    <w:rsid w:val="00017CDB"/>
    <w:rsid w:val="00071426"/>
    <w:rsid w:val="00086500"/>
    <w:rsid w:val="00086AD4"/>
    <w:rsid w:val="000D1C9B"/>
    <w:rsid w:val="00150797"/>
    <w:rsid w:val="00165131"/>
    <w:rsid w:val="00183C4B"/>
    <w:rsid w:val="00187E0F"/>
    <w:rsid w:val="001B60A8"/>
    <w:rsid w:val="001D362A"/>
    <w:rsid w:val="002153B6"/>
    <w:rsid w:val="00236701"/>
    <w:rsid w:val="002523CF"/>
    <w:rsid w:val="002B4666"/>
    <w:rsid w:val="00306C8C"/>
    <w:rsid w:val="00327608"/>
    <w:rsid w:val="0035356D"/>
    <w:rsid w:val="003C7E93"/>
    <w:rsid w:val="003F6710"/>
    <w:rsid w:val="00426D27"/>
    <w:rsid w:val="0044039B"/>
    <w:rsid w:val="00461EC9"/>
    <w:rsid w:val="00492F72"/>
    <w:rsid w:val="00501152"/>
    <w:rsid w:val="00571772"/>
    <w:rsid w:val="00592887"/>
    <w:rsid w:val="005A5A14"/>
    <w:rsid w:val="005B677B"/>
    <w:rsid w:val="005D7C2F"/>
    <w:rsid w:val="005E1949"/>
    <w:rsid w:val="00621737"/>
    <w:rsid w:val="00656D20"/>
    <w:rsid w:val="00657300"/>
    <w:rsid w:val="00712F1D"/>
    <w:rsid w:val="00730E6D"/>
    <w:rsid w:val="00731333"/>
    <w:rsid w:val="0073542C"/>
    <w:rsid w:val="00752BD7"/>
    <w:rsid w:val="0079568C"/>
    <w:rsid w:val="007C220B"/>
    <w:rsid w:val="007D4FFB"/>
    <w:rsid w:val="00825E48"/>
    <w:rsid w:val="00863C40"/>
    <w:rsid w:val="00891D8E"/>
    <w:rsid w:val="008920BB"/>
    <w:rsid w:val="008E0F18"/>
    <w:rsid w:val="008F22FB"/>
    <w:rsid w:val="00915F96"/>
    <w:rsid w:val="00931325"/>
    <w:rsid w:val="009350DE"/>
    <w:rsid w:val="00944A54"/>
    <w:rsid w:val="00981AD0"/>
    <w:rsid w:val="009862D3"/>
    <w:rsid w:val="00A416EC"/>
    <w:rsid w:val="00A85BC9"/>
    <w:rsid w:val="00AC0D83"/>
    <w:rsid w:val="00AD0D19"/>
    <w:rsid w:val="00AE60C5"/>
    <w:rsid w:val="00AF0CC5"/>
    <w:rsid w:val="00B153F5"/>
    <w:rsid w:val="00B25D83"/>
    <w:rsid w:val="00B4189E"/>
    <w:rsid w:val="00B8422F"/>
    <w:rsid w:val="00C318A9"/>
    <w:rsid w:val="00C40D08"/>
    <w:rsid w:val="00CA4C63"/>
    <w:rsid w:val="00CA7F1D"/>
    <w:rsid w:val="00CB4E80"/>
    <w:rsid w:val="00CD5138"/>
    <w:rsid w:val="00CD64B3"/>
    <w:rsid w:val="00D30104"/>
    <w:rsid w:val="00D320CC"/>
    <w:rsid w:val="00D330EC"/>
    <w:rsid w:val="00D676AD"/>
    <w:rsid w:val="00D90047"/>
    <w:rsid w:val="00DC22E5"/>
    <w:rsid w:val="00DF015A"/>
    <w:rsid w:val="00E47DBE"/>
    <w:rsid w:val="00E5289F"/>
    <w:rsid w:val="00E9096B"/>
    <w:rsid w:val="00E937B0"/>
    <w:rsid w:val="00EB34E1"/>
    <w:rsid w:val="00EB4EBC"/>
    <w:rsid w:val="00ED4CBA"/>
    <w:rsid w:val="00EF0AED"/>
    <w:rsid w:val="00F068CD"/>
    <w:rsid w:val="00F47B56"/>
    <w:rsid w:val="00F712BD"/>
    <w:rsid w:val="00F96B03"/>
    <w:rsid w:val="00FA1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83C4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unhideWhenUsed/>
    <w:rsid w:val="00183C4B"/>
    <w:pPr>
      <w:jc w:val="both"/>
    </w:pPr>
    <w:rPr>
      <w:sz w:val="20"/>
      <w:szCs w:val="20"/>
    </w:rPr>
  </w:style>
  <w:style w:type="character" w:customStyle="1" w:styleId="TextpoznmkypodiarouChar">
    <w:name w:val="Text poznámky pod čiarou Char"/>
    <w:basedOn w:val="Predvolenpsmoodseku"/>
    <w:link w:val="Textpoznmkypodiarou"/>
    <w:semiHidden/>
    <w:rsid w:val="00183C4B"/>
    <w:rPr>
      <w:rFonts w:ascii="Times New Roman" w:eastAsia="Times New Roman" w:hAnsi="Times New Roman" w:cs="Times New Roman"/>
      <w:sz w:val="20"/>
      <w:szCs w:val="20"/>
      <w:lang w:eastAsia="sk-SK"/>
    </w:rPr>
  </w:style>
  <w:style w:type="paragraph" w:styleId="Nzov">
    <w:name w:val="Title"/>
    <w:basedOn w:val="Normlny"/>
    <w:link w:val="NzovChar"/>
    <w:qFormat/>
    <w:rsid w:val="00183C4B"/>
    <w:pPr>
      <w:jc w:val="center"/>
    </w:pPr>
    <w:rPr>
      <w:b/>
      <w:szCs w:val="20"/>
      <w:lang w:eastAsia="cs-CZ"/>
    </w:rPr>
  </w:style>
  <w:style w:type="character" w:customStyle="1" w:styleId="NzovChar">
    <w:name w:val="Názov Char"/>
    <w:basedOn w:val="Predvolenpsmoodseku"/>
    <w:link w:val="Nzov"/>
    <w:rsid w:val="00183C4B"/>
    <w:rPr>
      <w:rFonts w:ascii="Times New Roman" w:eastAsia="Times New Roman" w:hAnsi="Times New Roman" w:cs="Times New Roman"/>
      <w:b/>
      <w:sz w:val="24"/>
      <w:szCs w:val="20"/>
      <w:lang w:eastAsia="cs-CZ"/>
    </w:rPr>
  </w:style>
  <w:style w:type="paragraph" w:styleId="Odsekzoznamu">
    <w:name w:val="List Paragraph"/>
    <w:basedOn w:val="Normlny"/>
    <w:uiPriority w:val="34"/>
    <w:qFormat/>
    <w:rsid w:val="00183C4B"/>
    <w:pPr>
      <w:ind w:left="720"/>
      <w:contextualSpacing/>
    </w:pPr>
  </w:style>
  <w:style w:type="character" w:styleId="Odkaznapoznmkupodiarou">
    <w:name w:val="footnote reference"/>
    <w:uiPriority w:val="99"/>
    <w:unhideWhenUsed/>
    <w:rsid w:val="00183C4B"/>
    <w:rPr>
      <w:vertAlign w:val="superscript"/>
    </w:rPr>
  </w:style>
  <w:style w:type="table" w:styleId="Mriekatabuky">
    <w:name w:val="Table Grid"/>
    <w:basedOn w:val="Normlnatabuka"/>
    <w:rsid w:val="00183C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9096B"/>
    <w:rPr>
      <w:rFonts w:ascii="Tahoma" w:hAnsi="Tahoma" w:cs="Tahoma"/>
      <w:sz w:val="16"/>
      <w:szCs w:val="16"/>
    </w:rPr>
  </w:style>
  <w:style w:type="character" w:customStyle="1" w:styleId="TextbublinyChar">
    <w:name w:val="Text bubliny Char"/>
    <w:basedOn w:val="Predvolenpsmoodseku"/>
    <w:link w:val="Textbubliny"/>
    <w:uiPriority w:val="99"/>
    <w:semiHidden/>
    <w:rsid w:val="00E9096B"/>
    <w:rPr>
      <w:rFonts w:ascii="Tahoma" w:eastAsia="Times New Roman" w:hAnsi="Tahoma" w:cs="Tahoma"/>
      <w:sz w:val="16"/>
      <w:szCs w:val="16"/>
      <w:lang w:eastAsia="sk-SK"/>
    </w:rPr>
  </w:style>
  <w:style w:type="paragraph" w:styleId="Hlavika">
    <w:name w:val="header"/>
    <w:basedOn w:val="Normlny"/>
    <w:link w:val="HlavikaChar"/>
    <w:uiPriority w:val="99"/>
    <w:unhideWhenUsed/>
    <w:rsid w:val="00AD0D19"/>
    <w:pPr>
      <w:tabs>
        <w:tab w:val="center" w:pos="4536"/>
        <w:tab w:val="right" w:pos="9072"/>
      </w:tabs>
    </w:pPr>
  </w:style>
  <w:style w:type="character" w:customStyle="1" w:styleId="HlavikaChar">
    <w:name w:val="Hlavička Char"/>
    <w:basedOn w:val="Predvolenpsmoodseku"/>
    <w:link w:val="Hlavika"/>
    <w:uiPriority w:val="99"/>
    <w:rsid w:val="00AD0D1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D0D19"/>
    <w:pPr>
      <w:tabs>
        <w:tab w:val="center" w:pos="4536"/>
        <w:tab w:val="right" w:pos="9072"/>
      </w:tabs>
    </w:pPr>
  </w:style>
  <w:style w:type="character" w:customStyle="1" w:styleId="PtaChar">
    <w:name w:val="Päta Char"/>
    <w:basedOn w:val="Predvolenpsmoodseku"/>
    <w:link w:val="Pta"/>
    <w:uiPriority w:val="99"/>
    <w:rsid w:val="00AD0D19"/>
    <w:rPr>
      <w:rFonts w:ascii="Times New Roman" w:eastAsia="Times New Roman" w:hAnsi="Times New Roman" w:cs="Times New Roman"/>
      <w:sz w:val="24"/>
      <w:szCs w:val="24"/>
      <w:lang w:eastAsia="sk-SK"/>
    </w:rPr>
  </w:style>
  <w:style w:type="character" w:customStyle="1" w:styleId="Poznmkapodiarou">
    <w:name w:val="Poznámka pod čiarou_"/>
    <w:basedOn w:val="Predvolenpsmoodseku"/>
    <w:link w:val="Poznmkapodiarou0"/>
    <w:rsid w:val="008F22FB"/>
    <w:rPr>
      <w:rFonts w:ascii="Times New Roman" w:eastAsia="Times New Roman" w:hAnsi="Times New Roman" w:cs="Times New Roman"/>
      <w:sz w:val="19"/>
      <w:szCs w:val="19"/>
    </w:rPr>
  </w:style>
  <w:style w:type="character" w:customStyle="1" w:styleId="Zkladntext4">
    <w:name w:val="Základný text (4)_"/>
    <w:basedOn w:val="Predvolenpsmoodseku"/>
    <w:link w:val="Zkladntext40"/>
    <w:rsid w:val="008F22FB"/>
    <w:rPr>
      <w:rFonts w:ascii="Arial" w:eastAsia="Arial" w:hAnsi="Arial" w:cs="Arial"/>
      <w:sz w:val="26"/>
      <w:szCs w:val="26"/>
    </w:rPr>
  </w:style>
  <w:style w:type="character" w:customStyle="1" w:styleId="Nzovobrzka">
    <w:name w:val="Názov obrázka_"/>
    <w:basedOn w:val="Predvolenpsmoodseku"/>
    <w:link w:val="Nzovobrzka0"/>
    <w:rsid w:val="008F22FB"/>
    <w:rPr>
      <w:rFonts w:ascii="Times New Roman" w:eastAsia="Times New Roman" w:hAnsi="Times New Roman" w:cs="Times New Roman"/>
    </w:rPr>
  </w:style>
  <w:style w:type="character" w:customStyle="1" w:styleId="Zkladntext5">
    <w:name w:val="Základný text (5)_"/>
    <w:basedOn w:val="Predvolenpsmoodseku"/>
    <w:link w:val="Zkladntext50"/>
    <w:rsid w:val="008F22FB"/>
    <w:rPr>
      <w:rFonts w:ascii="Times New Roman" w:eastAsia="Times New Roman" w:hAnsi="Times New Roman" w:cs="Times New Roman"/>
      <w:sz w:val="48"/>
      <w:szCs w:val="48"/>
    </w:rPr>
  </w:style>
  <w:style w:type="character" w:customStyle="1" w:styleId="Zkladntext">
    <w:name w:val="Základný text_"/>
    <w:basedOn w:val="Predvolenpsmoodseku"/>
    <w:link w:val="Zkladntext1"/>
    <w:rsid w:val="008F22FB"/>
    <w:rPr>
      <w:rFonts w:ascii="Times New Roman" w:eastAsia="Times New Roman" w:hAnsi="Times New Roman" w:cs="Times New Roman"/>
    </w:rPr>
  </w:style>
  <w:style w:type="character" w:customStyle="1" w:styleId="Zkladntext3">
    <w:name w:val="Základný text (3)_"/>
    <w:basedOn w:val="Predvolenpsmoodseku"/>
    <w:link w:val="Zkladntext30"/>
    <w:rsid w:val="008F22FB"/>
    <w:rPr>
      <w:rFonts w:ascii="Arial" w:eastAsia="Arial" w:hAnsi="Arial" w:cs="Arial"/>
      <w:sz w:val="19"/>
      <w:szCs w:val="19"/>
    </w:rPr>
  </w:style>
  <w:style w:type="character" w:customStyle="1" w:styleId="Zkladntext2">
    <w:name w:val="Základný text (2)_"/>
    <w:basedOn w:val="Predvolenpsmoodseku"/>
    <w:link w:val="Zkladntext20"/>
    <w:rsid w:val="008F22FB"/>
    <w:rPr>
      <w:rFonts w:ascii="Times New Roman" w:eastAsia="Times New Roman" w:hAnsi="Times New Roman" w:cs="Times New Roman"/>
      <w:sz w:val="19"/>
      <w:szCs w:val="19"/>
    </w:rPr>
  </w:style>
  <w:style w:type="character" w:customStyle="1" w:styleId="Zhlavie1">
    <w:name w:val="Záhlavie #1_"/>
    <w:basedOn w:val="Predvolenpsmoodseku"/>
    <w:link w:val="Zhlavie10"/>
    <w:rsid w:val="008F22FB"/>
    <w:rPr>
      <w:rFonts w:ascii="Times New Roman" w:eastAsia="Times New Roman" w:hAnsi="Times New Roman" w:cs="Times New Roman"/>
      <w:b/>
      <w:bCs/>
    </w:rPr>
  </w:style>
  <w:style w:type="paragraph" w:customStyle="1" w:styleId="Poznmkapodiarou0">
    <w:name w:val="Poznámka pod čiarou"/>
    <w:basedOn w:val="Normlny"/>
    <w:link w:val="Poznmkapodiarou"/>
    <w:rsid w:val="008F22FB"/>
    <w:pPr>
      <w:widowControl w:val="0"/>
      <w:spacing w:line="254" w:lineRule="auto"/>
      <w:ind w:left="140" w:firstLine="20"/>
    </w:pPr>
    <w:rPr>
      <w:sz w:val="19"/>
      <w:szCs w:val="19"/>
      <w:lang w:eastAsia="en-US"/>
    </w:rPr>
  </w:style>
  <w:style w:type="paragraph" w:customStyle="1" w:styleId="Zkladntext40">
    <w:name w:val="Základný text (4)"/>
    <w:basedOn w:val="Normlny"/>
    <w:link w:val="Zkladntext4"/>
    <w:rsid w:val="008F22FB"/>
    <w:pPr>
      <w:widowControl w:val="0"/>
    </w:pPr>
    <w:rPr>
      <w:rFonts w:ascii="Arial" w:eastAsia="Arial" w:hAnsi="Arial" w:cs="Arial"/>
      <w:sz w:val="26"/>
      <w:szCs w:val="26"/>
      <w:lang w:eastAsia="en-US"/>
    </w:rPr>
  </w:style>
  <w:style w:type="paragraph" w:customStyle="1" w:styleId="Nzovobrzka0">
    <w:name w:val="Názov obrázka"/>
    <w:basedOn w:val="Normlny"/>
    <w:link w:val="Nzovobrzka"/>
    <w:rsid w:val="008F22FB"/>
    <w:pPr>
      <w:widowControl w:val="0"/>
    </w:pPr>
    <w:rPr>
      <w:sz w:val="22"/>
      <w:szCs w:val="22"/>
      <w:lang w:eastAsia="en-US"/>
    </w:rPr>
  </w:style>
  <w:style w:type="paragraph" w:customStyle="1" w:styleId="Zkladntext50">
    <w:name w:val="Základný text (5)"/>
    <w:basedOn w:val="Normlny"/>
    <w:link w:val="Zkladntext5"/>
    <w:rsid w:val="008F22FB"/>
    <w:pPr>
      <w:widowControl w:val="0"/>
    </w:pPr>
    <w:rPr>
      <w:sz w:val="48"/>
      <w:szCs w:val="48"/>
      <w:lang w:eastAsia="en-US"/>
    </w:rPr>
  </w:style>
  <w:style w:type="paragraph" w:customStyle="1" w:styleId="Zkladntext1">
    <w:name w:val="Základný text1"/>
    <w:basedOn w:val="Normlny"/>
    <w:link w:val="Zkladntext"/>
    <w:rsid w:val="008F22FB"/>
    <w:pPr>
      <w:widowControl w:val="0"/>
      <w:spacing w:after="260" w:line="254" w:lineRule="auto"/>
    </w:pPr>
    <w:rPr>
      <w:sz w:val="22"/>
      <w:szCs w:val="22"/>
      <w:lang w:eastAsia="en-US"/>
    </w:rPr>
  </w:style>
  <w:style w:type="paragraph" w:customStyle="1" w:styleId="Zkladntext30">
    <w:name w:val="Základný text (3)"/>
    <w:basedOn w:val="Normlny"/>
    <w:link w:val="Zkladntext3"/>
    <w:rsid w:val="008F22FB"/>
    <w:pPr>
      <w:widowControl w:val="0"/>
      <w:spacing w:after="580" w:line="276" w:lineRule="auto"/>
      <w:jc w:val="center"/>
    </w:pPr>
    <w:rPr>
      <w:rFonts w:ascii="Arial" w:eastAsia="Arial" w:hAnsi="Arial" w:cs="Arial"/>
      <w:sz w:val="19"/>
      <w:szCs w:val="19"/>
      <w:lang w:eastAsia="en-US"/>
    </w:rPr>
  </w:style>
  <w:style w:type="paragraph" w:customStyle="1" w:styleId="Zkladntext20">
    <w:name w:val="Základný text (2)"/>
    <w:basedOn w:val="Normlny"/>
    <w:link w:val="Zkladntext2"/>
    <w:rsid w:val="008F22FB"/>
    <w:pPr>
      <w:widowControl w:val="0"/>
      <w:ind w:left="380" w:hanging="380"/>
    </w:pPr>
    <w:rPr>
      <w:sz w:val="19"/>
      <w:szCs w:val="19"/>
      <w:lang w:eastAsia="en-US"/>
    </w:rPr>
  </w:style>
  <w:style w:type="paragraph" w:customStyle="1" w:styleId="Zhlavie10">
    <w:name w:val="Záhlavie #1"/>
    <w:basedOn w:val="Normlny"/>
    <w:link w:val="Zhlavie1"/>
    <w:rsid w:val="008F22FB"/>
    <w:pPr>
      <w:widowControl w:val="0"/>
      <w:spacing w:after="260" w:line="257" w:lineRule="auto"/>
      <w:jc w:val="center"/>
      <w:outlineLvl w:val="0"/>
    </w:pPr>
    <w:rPr>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83C4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unhideWhenUsed/>
    <w:rsid w:val="00183C4B"/>
    <w:pPr>
      <w:jc w:val="both"/>
    </w:pPr>
    <w:rPr>
      <w:sz w:val="20"/>
      <w:szCs w:val="20"/>
    </w:rPr>
  </w:style>
  <w:style w:type="character" w:customStyle="1" w:styleId="TextpoznmkypodiarouChar">
    <w:name w:val="Text poznámky pod čiarou Char"/>
    <w:basedOn w:val="Predvolenpsmoodseku"/>
    <w:link w:val="Textpoznmkypodiarou"/>
    <w:semiHidden/>
    <w:rsid w:val="00183C4B"/>
    <w:rPr>
      <w:rFonts w:ascii="Times New Roman" w:eastAsia="Times New Roman" w:hAnsi="Times New Roman" w:cs="Times New Roman"/>
      <w:sz w:val="20"/>
      <w:szCs w:val="20"/>
      <w:lang w:eastAsia="sk-SK"/>
    </w:rPr>
  </w:style>
  <w:style w:type="paragraph" w:styleId="Nzov">
    <w:name w:val="Title"/>
    <w:basedOn w:val="Normlny"/>
    <w:link w:val="NzovChar"/>
    <w:qFormat/>
    <w:rsid w:val="00183C4B"/>
    <w:pPr>
      <w:jc w:val="center"/>
    </w:pPr>
    <w:rPr>
      <w:b/>
      <w:szCs w:val="20"/>
      <w:lang w:eastAsia="cs-CZ"/>
    </w:rPr>
  </w:style>
  <w:style w:type="character" w:customStyle="1" w:styleId="NzovChar">
    <w:name w:val="Názov Char"/>
    <w:basedOn w:val="Predvolenpsmoodseku"/>
    <w:link w:val="Nzov"/>
    <w:rsid w:val="00183C4B"/>
    <w:rPr>
      <w:rFonts w:ascii="Times New Roman" w:eastAsia="Times New Roman" w:hAnsi="Times New Roman" w:cs="Times New Roman"/>
      <w:b/>
      <w:sz w:val="24"/>
      <w:szCs w:val="20"/>
      <w:lang w:eastAsia="cs-CZ"/>
    </w:rPr>
  </w:style>
  <w:style w:type="paragraph" w:styleId="Odsekzoznamu">
    <w:name w:val="List Paragraph"/>
    <w:basedOn w:val="Normlny"/>
    <w:uiPriority w:val="34"/>
    <w:qFormat/>
    <w:rsid w:val="00183C4B"/>
    <w:pPr>
      <w:ind w:left="720"/>
      <w:contextualSpacing/>
    </w:pPr>
  </w:style>
  <w:style w:type="character" w:styleId="Odkaznapoznmkupodiarou">
    <w:name w:val="footnote reference"/>
    <w:uiPriority w:val="99"/>
    <w:unhideWhenUsed/>
    <w:rsid w:val="00183C4B"/>
    <w:rPr>
      <w:vertAlign w:val="superscript"/>
    </w:rPr>
  </w:style>
  <w:style w:type="table" w:styleId="Mriekatabuky">
    <w:name w:val="Table Grid"/>
    <w:basedOn w:val="Normlnatabuka"/>
    <w:rsid w:val="00183C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9096B"/>
    <w:rPr>
      <w:rFonts w:ascii="Tahoma" w:hAnsi="Tahoma" w:cs="Tahoma"/>
      <w:sz w:val="16"/>
      <w:szCs w:val="16"/>
    </w:rPr>
  </w:style>
  <w:style w:type="character" w:customStyle="1" w:styleId="TextbublinyChar">
    <w:name w:val="Text bubliny Char"/>
    <w:basedOn w:val="Predvolenpsmoodseku"/>
    <w:link w:val="Textbubliny"/>
    <w:uiPriority w:val="99"/>
    <w:semiHidden/>
    <w:rsid w:val="00E9096B"/>
    <w:rPr>
      <w:rFonts w:ascii="Tahoma" w:eastAsia="Times New Roman" w:hAnsi="Tahoma" w:cs="Tahoma"/>
      <w:sz w:val="16"/>
      <w:szCs w:val="16"/>
      <w:lang w:eastAsia="sk-SK"/>
    </w:rPr>
  </w:style>
  <w:style w:type="paragraph" w:styleId="Hlavika">
    <w:name w:val="header"/>
    <w:basedOn w:val="Normlny"/>
    <w:link w:val="HlavikaChar"/>
    <w:uiPriority w:val="99"/>
    <w:unhideWhenUsed/>
    <w:rsid w:val="00AD0D19"/>
    <w:pPr>
      <w:tabs>
        <w:tab w:val="center" w:pos="4536"/>
        <w:tab w:val="right" w:pos="9072"/>
      </w:tabs>
    </w:pPr>
  </w:style>
  <w:style w:type="character" w:customStyle="1" w:styleId="HlavikaChar">
    <w:name w:val="Hlavička Char"/>
    <w:basedOn w:val="Predvolenpsmoodseku"/>
    <w:link w:val="Hlavika"/>
    <w:uiPriority w:val="99"/>
    <w:rsid w:val="00AD0D1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D0D19"/>
    <w:pPr>
      <w:tabs>
        <w:tab w:val="center" w:pos="4536"/>
        <w:tab w:val="right" w:pos="9072"/>
      </w:tabs>
    </w:pPr>
  </w:style>
  <w:style w:type="character" w:customStyle="1" w:styleId="PtaChar">
    <w:name w:val="Päta Char"/>
    <w:basedOn w:val="Predvolenpsmoodseku"/>
    <w:link w:val="Pta"/>
    <w:uiPriority w:val="99"/>
    <w:rsid w:val="00AD0D19"/>
    <w:rPr>
      <w:rFonts w:ascii="Times New Roman" w:eastAsia="Times New Roman" w:hAnsi="Times New Roman" w:cs="Times New Roman"/>
      <w:sz w:val="24"/>
      <w:szCs w:val="24"/>
      <w:lang w:eastAsia="sk-SK"/>
    </w:rPr>
  </w:style>
  <w:style w:type="character" w:customStyle="1" w:styleId="Poznmkapodiarou">
    <w:name w:val="Poznámka pod čiarou_"/>
    <w:basedOn w:val="Predvolenpsmoodseku"/>
    <w:link w:val="Poznmkapodiarou0"/>
    <w:rsid w:val="008F22FB"/>
    <w:rPr>
      <w:rFonts w:ascii="Times New Roman" w:eastAsia="Times New Roman" w:hAnsi="Times New Roman" w:cs="Times New Roman"/>
      <w:sz w:val="19"/>
      <w:szCs w:val="19"/>
    </w:rPr>
  </w:style>
  <w:style w:type="character" w:customStyle="1" w:styleId="Zkladntext4">
    <w:name w:val="Základný text (4)_"/>
    <w:basedOn w:val="Predvolenpsmoodseku"/>
    <w:link w:val="Zkladntext40"/>
    <w:rsid w:val="008F22FB"/>
    <w:rPr>
      <w:rFonts w:ascii="Arial" w:eastAsia="Arial" w:hAnsi="Arial" w:cs="Arial"/>
      <w:sz w:val="26"/>
      <w:szCs w:val="26"/>
    </w:rPr>
  </w:style>
  <w:style w:type="character" w:customStyle="1" w:styleId="Nzovobrzka">
    <w:name w:val="Názov obrázka_"/>
    <w:basedOn w:val="Predvolenpsmoodseku"/>
    <w:link w:val="Nzovobrzka0"/>
    <w:rsid w:val="008F22FB"/>
    <w:rPr>
      <w:rFonts w:ascii="Times New Roman" w:eastAsia="Times New Roman" w:hAnsi="Times New Roman" w:cs="Times New Roman"/>
    </w:rPr>
  </w:style>
  <w:style w:type="character" w:customStyle="1" w:styleId="Zkladntext5">
    <w:name w:val="Základný text (5)_"/>
    <w:basedOn w:val="Predvolenpsmoodseku"/>
    <w:link w:val="Zkladntext50"/>
    <w:rsid w:val="008F22FB"/>
    <w:rPr>
      <w:rFonts w:ascii="Times New Roman" w:eastAsia="Times New Roman" w:hAnsi="Times New Roman" w:cs="Times New Roman"/>
      <w:sz w:val="48"/>
      <w:szCs w:val="48"/>
    </w:rPr>
  </w:style>
  <w:style w:type="character" w:customStyle="1" w:styleId="Zkladntext">
    <w:name w:val="Základný text_"/>
    <w:basedOn w:val="Predvolenpsmoodseku"/>
    <w:link w:val="Zkladntext1"/>
    <w:rsid w:val="008F22FB"/>
    <w:rPr>
      <w:rFonts w:ascii="Times New Roman" w:eastAsia="Times New Roman" w:hAnsi="Times New Roman" w:cs="Times New Roman"/>
    </w:rPr>
  </w:style>
  <w:style w:type="character" w:customStyle="1" w:styleId="Zkladntext3">
    <w:name w:val="Základný text (3)_"/>
    <w:basedOn w:val="Predvolenpsmoodseku"/>
    <w:link w:val="Zkladntext30"/>
    <w:rsid w:val="008F22FB"/>
    <w:rPr>
      <w:rFonts w:ascii="Arial" w:eastAsia="Arial" w:hAnsi="Arial" w:cs="Arial"/>
      <w:sz w:val="19"/>
      <w:szCs w:val="19"/>
    </w:rPr>
  </w:style>
  <w:style w:type="character" w:customStyle="1" w:styleId="Zkladntext2">
    <w:name w:val="Základný text (2)_"/>
    <w:basedOn w:val="Predvolenpsmoodseku"/>
    <w:link w:val="Zkladntext20"/>
    <w:rsid w:val="008F22FB"/>
    <w:rPr>
      <w:rFonts w:ascii="Times New Roman" w:eastAsia="Times New Roman" w:hAnsi="Times New Roman" w:cs="Times New Roman"/>
      <w:sz w:val="19"/>
      <w:szCs w:val="19"/>
    </w:rPr>
  </w:style>
  <w:style w:type="character" w:customStyle="1" w:styleId="Zhlavie1">
    <w:name w:val="Záhlavie #1_"/>
    <w:basedOn w:val="Predvolenpsmoodseku"/>
    <w:link w:val="Zhlavie10"/>
    <w:rsid w:val="008F22FB"/>
    <w:rPr>
      <w:rFonts w:ascii="Times New Roman" w:eastAsia="Times New Roman" w:hAnsi="Times New Roman" w:cs="Times New Roman"/>
      <w:b/>
      <w:bCs/>
    </w:rPr>
  </w:style>
  <w:style w:type="paragraph" w:customStyle="1" w:styleId="Poznmkapodiarou0">
    <w:name w:val="Poznámka pod čiarou"/>
    <w:basedOn w:val="Normlny"/>
    <w:link w:val="Poznmkapodiarou"/>
    <w:rsid w:val="008F22FB"/>
    <w:pPr>
      <w:widowControl w:val="0"/>
      <w:spacing w:line="254" w:lineRule="auto"/>
      <w:ind w:left="140" w:firstLine="20"/>
    </w:pPr>
    <w:rPr>
      <w:sz w:val="19"/>
      <w:szCs w:val="19"/>
      <w:lang w:eastAsia="en-US"/>
    </w:rPr>
  </w:style>
  <w:style w:type="paragraph" w:customStyle="1" w:styleId="Zkladntext40">
    <w:name w:val="Základný text (4)"/>
    <w:basedOn w:val="Normlny"/>
    <w:link w:val="Zkladntext4"/>
    <w:rsid w:val="008F22FB"/>
    <w:pPr>
      <w:widowControl w:val="0"/>
    </w:pPr>
    <w:rPr>
      <w:rFonts w:ascii="Arial" w:eastAsia="Arial" w:hAnsi="Arial" w:cs="Arial"/>
      <w:sz w:val="26"/>
      <w:szCs w:val="26"/>
      <w:lang w:eastAsia="en-US"/>
    </w:rPr>
  </w:style>
  <w:style w:type="paragraph" w:customStyle="1" w:styleId="Nzovobrzka0">
    <w:name w:val="Názov obrázka"/>
    <w:basedOn w:val="Normlny"/>
    <w:link w:val="Nzovobrzka"/>
    <w:rsid w:val="008F22FB"/>
    <w:pPr>
      <w:widowControl w:val="0"/>
    </w:pPr>
    <w:rPr>
      <w:sz w:val="22"/>
      <w:szCs w:val="22"/>
      <w:lang w:eastAsia="en-US"/>
    </w:rPr>
  </w:style>
  <w:style w:type="paragraph" w:customStyle="1" w:styleId="Zkladntext50">
    <w:name w:val="Základný text (5)"/>
    <w:basedOn w:val="Normlny"/>
    <w:link w:val="Zkladntext5"/>
    <w:rsid w:val="008F22FB"/>
    <w:pPr>
      <w:widowControl w:val="0"/>
    </w:pPr>
    <w:rPr>
      <w:sz w:val="48"/>
      <w:szCs w:val="48"/>
      <w:lang w:eastAsia="en-US"/>
    </w:rPr>
  </w:style>
  <w:style w:type="paragraph" w:customStyle="1" w:styleId="Zkladntext1">
    <w:name w:val="Základný text1"/>
    <w:basedOn w:val="Normlny"/>
    <w:link w:val="Zkladntext"/>
    <w:rsid w:val="008F22FB"/>
    <w:pPr>
      <w:widowControl w:val="0"/>
      <w:spacing w:after="260" w:line="254" w:lineRule="auto"/>
    </w:pPr>
    <w:rPr>
      <w:sz w:val="22"/>
      <w:szCs w:val="22"/>
      <w:lang w:eastAsia="en-US"/>
    </w:rPr>
  </w:style>
  <w:style w:type="paragraph" w:customStyle="1" w:styleId="Zkladntext30">
    <w:name w:val="Základný text (3)"/>
    <w:basedOn w:val="Normlny"/>
    <w:link w:val="Zkladntext3"/>
    <w:rsid w:val="008F22FB"/>
    <w:pPr>
      <w:widowControl w:val="0"/>
      <w:spacing w:after="580" w:line="276" w:lineRule="auto"/>
      <w:jc w:val="center"/>
    </w:pPr>
    <w:rPr>
      <w:rFonts w:ascii="Arial" w:eastAsia="Arial" w:hAnsi="Arial" w:cs="Arial"/>
      <w:sz w:val="19"/>
      <w:szCs w:val="19"/>
      <w:lang w:eastAsia="en-US"/>
    </w:rPr>
  </w:style>
  <w:style w:type="paragraph" w:customStyle="1" w:styleId="Zkladntext20">
    <w:name w:val="Základný text (2)"/>
    <w:basedOn w:val="Normlny"/>
    <w:link w:val="Zkladntext2"/>
    <w:rsid w:val="008F22FB"/>
    <w:pPr>
      <w:widowControl w:val="0"/>
      <w:ind w:left="380" w:hanging="380"/>
    </w:pPr>
    <w:rPr>
      <w:sz w:val="19"/>
      <w:szCs w:val="19"/>
      <w:lang w:eastAsia="en-US"/>
    </w:rPr>
  </w:style>
  <w:style w:type="paragraph" w:customStyle="1" w:styleId="Zhlavie10">
    <w:name w:val="Záhlavie #1"/>
    <w:basedOn w:val="Normlny"/>
    <w:link w:val="Zhlavie1"/>
    <w:rsid w:val="008F22FB"/>
    <w:pPr>
      <w:widowControl w:val="0"/>
      <w:spacing w:after="260" w:line="257" w:lineRule="auto"/>
      <w:jc w:val="center"/>
      <w:outlineLvl w:val="0"/>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mdp@bratislav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aj.ciba@bratislava.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868F-E6FB-4891-91F4-E40DA882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2493</Words>
  <Characters>14211</Characters>
  <Application>Microsoft Office Word</Application>
  <DocSecurity>4</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Plačková Klaudia</dc:creator>
  <cp:lastModifiedBy>Hokina Janka</cp:lastModifiedBy>
  <cp:revision>2</cp:revision>
  <cp:lastPrinted>2020-09-09T07:25:00Z</cp:lastPrinted>
  <dcterms:created xsi:type="dcterms:W3CDTF">2020-09-10T10:50:00Z</dcterms:created>
  <dcterms:modified xsi:type="dcterms:W3CDTF">2020-09-10T10:50:00Z</dcterms:modified>
</cp:coreProperties>
</file>