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DA" w:rsidRPr="005A7319" w:rsidRDefault="007803DA" w:rsidP="0078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319">
        <w:rPr>
          <w:rFonts w:ascii="Times New Roman" w:hAnsi="Times New Roman" w:cs="Times New Roman"/>
          <w:b/>
          <w:bCs/>
          <w:sz w:val="28"/>
          <w:szCs w:val="28"/>
        </w:rPr>
        <w:t>Odborné stanovisko</w:t>
      </w:r>
    </w:p>
    <w:p w:rsidR="007803DA" w:rsidRPr="005A7319" w:rsidRDefault="007803DA" w:rsidP="0078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319">
        <w:rPr>
          <w:rFonts w:ascii="Times New Roman" w:hAnsi="Times New Roman" w:cs="Times New Roman"/>
          <w:b/>
          <w:bCs/>
          <w:sz w:val="28"/>
          <w:szCs w:val="28"/>
        </w:rPr>
        <w:t>miestneho kontrolóra mestskej časti Bratislava</w:t>
      </w:r>
      <w:r w:rsidR="002B7879" w:rsidRPr="005A7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3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B7879" w:rsidRPr="005A7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319">
        <w:rPr>
          <w:rFonts w:ascii="Times New Roman" w:hAnsi="Times New Roman" w:cs="Times New Roman"/>
          <w:b/>
          <w:bCs/>
          <w:sz w:val="28"/>
          <w:szCs w:val="28"/>
        </w:rPr>
        <w:t>Petržalka</w:t>
      </w:r>
    </w:p>
    <w:p w:rsidR="008237BD" w:rsidRPr="005A7319" w:rsidRDefault="008237BD" w:rsidP="006265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94" w:rsidRPr="005A7319" w:rsidRDefault="00921D94" w:rsidP="006265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19">
        <w:rPr>
          <w:rFonts w:ascii="Times New Roman" w:hAnsi="Times New Roman" w:cs="Times New Roman"/>
          <w:b/>
          <w:sz w:val="24"/>
          <w:szCs w:val="24"/>
        </w:rPr>
        <w:t>k Návrhu rozpočtu mestskej časti Bratislava</w:t>
      </w:r>
      <w:r w:rsidR="002B7879" w:rsidRPr="005A73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7319">
        <w:rPr>
          <w:rFonts w:ascii="Times New Roman" w:hAnsi="Times New Roman" w:cs="Times New Roman"/>
          <w:b/>
          <w:sz w:val="24"/>
          <w:szCs w:val="24"/>
        </w:rPr>
        <w:t>-</w:t>
      </w:r>
      <w:r w:rsidR="00303892" w:rsidRPr="005A7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b/>
          <w:sz w:val="24"/>
          <w:szCs w:val="24"/>
        </w:rPr>
        <w:t>Petržalka</w:t>
      </w:r>
    </w:p>
    <w:p w:rsidR="00921D94" w:rsidRPr="005A7319" w:rsidRDefault="00921D94" w:rsidP="006265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19">
        <w:rPr>
          <w:rFonts w:ascii="Times New Roman" w:hAnsi="Times New Roman" w:cs="Times New Roman"/>
          <w:b/>
          <w:sz w:val="24"/>
          <w:szCs w:val="24"/>
        </w:rPr>
        <w:t>na rok 20</w:t>
      </w:r>
      <w:r w:rsidR="002B7879" w:rsidRPr="005A7319">
        <w:rPr>
          <w:rFonts w:ascii="Times New Roman" w:hAnsi="Times New Roman" w:cs="Times New Roman"/>
          <w:b/>
          <w:sz w:val="24"/>
          <w:szCs w:val="24"/>
        </w:rPr>
        <w:t>2</w:t>
      </w:r>
      <w:r w:rsidR="007310F5">
        <w:rPr>
          <w:rFonts w:ascii="Times New Roman" w:hAnsi="Times New Roman" w:cs="Times New Roman"/>
          <w:b/>
          <w:sz w:val="24"/>
          <w:szCs w:val="24"/>
        </w:rPr>
        <w:t>1</w:t>
      </w:r>
      <w:r w:rsidRPr="005A7319">
        <w:rPr>
          <w:rFonts w:ascii="Times New Roman" w:hAnsi="Times New Roman" w:cs="Times New Roman"/>
          <w:b/>
          <w:sz w:val="24"/>
          <w:szCs w:val="24"/>
        </w:rPr>
        <w:t xml:space="preserve"> s výhľadom do roku 202</w:t>
      </w:r>
      <w:r w:rsidR="007310F5">
        <w:rPr>
          <w:rFonts w:ascii="Times New Roman" w:hAnsi="Times New Roman" w:cs="Times New Roman"/>
          <w:b/>
          <w:sz w:val="24"/>
          <w:szCs w:val="24"/>
        </w:rPr>
        <w:t>3</w:t>
      </w:r>
    </w:p>
    <w:p w:rsidR="005125CC" w:rsidRPr="005A7319" w:rsidRDefault="005125CC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2B" w:rsidRPr="005A7319" w:rsidRDefault="003F7C2B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94" w:rsidRPr="005A7319" w:rsidRDefault="00921D94" w:rsidP="0051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 xml:space="preserve">Podľa ustanovenia § 18f ods. 1 písm. c) zákona č. 369/1990 Zb. o obecnom zriadení v znení neskorších predpisov predkladám Miestnemu zastupiteľstvu mestskej časti </w:t>
      </w:r>
      <w:r w:rsidR="00303892" w:rsidRPr="005A7319">
        <w:rPr>
          <w:rFonts w:ascii="Times New Roman" w:hAnsi="Times New Roman" w:cs="Times New Roman"/>
          <w:sz w:val="24"/>
          <w:szCs w:val="24"/>
        </w:rPr>
        <w:br/>
      </w:r>
      <w:r w:rsidRPr="005A7319">
        <w:rPr>
          <w:rFonts w:ascii="Times New Roman" w:hAnsi="Times New Roman" w:cs="Times New Roman"/>
          <w:sz w:val="24"/>
          <w:szCs w:val="24"/>
        </w:rPr>
        <w:t>Bratislava-Petržalka Odborné stanovisko k</w:t>
      </w:r>
      <w:r w:rsidR="00F42480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sz w:val="24"/>
          <w:szCs w:val="24"/>
        </w:rPr>
        <w:t xml:space="preserve">Návrhu rozpočtu mestskej časti </w:t>
      </w:r>
      <w:r w:rsidR="00F42480" w:rsidRPr="005A7319">
        <w:rPr>
          <w:rFonts w:ascii="Times New Roman" w:hAnsi="Times New Roman" w:cs="Times New Roman"/>
          <w:sz w:val="24"/>
          <w:szCs w:val="24"/>
        </w:rPr>
        <w:br/>
      </w:r>
      <w:r w:rsidRPr="005A7319">
        <w:rPr>
          <w:rFonts w:ascii="Times New Roman" w:hAnsi="Times New Roman" w:cs="Times New Roman"/>
          <w:sz w:val="24"/>
          <w:szCs w:val="24"/>
        </w:rPr>
        <w:t>Bratislava</w:t>
      </w:r>
      <w:r w:rsidR="00F42480" w:rsidRPr="005A7319">
        <w:rPr>
          <w:rFonts w:ascii="Times New Roman" w:hAnsi="Times New Roman" w:cs="Times New Roman"/>
          <w:sz w:val="24"/>
          <w:szCs w:val="24"/>
        </w:rPr>
        <w:t>-</w:t>
      </w:r>
      <w:r w:rsidRPr="005A7319">
        <w:rPr>
          <w:rFonts w:ascii="Times New Roman" w:hAnsi="Times New Roman" w:cs="Times New Roman"/>
          <w:sz w:val="24"/>
          <w:szCs w:val="24"/>
        </w:rPr>
        <w:t>Petržalka na rok 20</w:t>
      </w:r>
      <w:r w:rsidR="00F42480" w:rsidRPr="005A7319">
        <w:rPr>
          <w:rFonts w:ascii="Times New Roman" w:hAnsi="Times New Roman" w:cs="Times New Roman"/>
          <w:sz w:val="24"/>
          <w:szCs w:val="24"/>
        </w:rPr>
        <w:t>2</w:t>
      </w:r>
      <w:r w:rsidR="007310F5">
        <w:rPr>
          <w:rFonts w:ascii="Times New Roman" w:hAnsi="Times New Roman" w:cs="Times New Roman"/>
          <w:sz w:val="24"/>
          <w:szCs w:val="24"/>
        </w:rPr>
        <w:t>1</w:t>
      </w:r>
      <w:r w:rsidRPr="005A7319">
        <w:rPr>
          <w:rFonts w:ascii="Times New Roman" w:hAnsi="Times New Roman" w:cs="Times New Roman"/>
          <w:sz w:val="24"/>
          <w:szCs w:val="24"/>
        </w:rPr>
        <w:t xml:space="preserve"> s výhľadom do roku 202</w:t>
      </w:r>
      <w:r w:rsidR="007310F5">
        <w:rPr>
          <w:rFonts w:ascii="Times New Roman" w:hAnsi="Times New Roman" w:cs="Times New Roman"/>
          <w:sz w:val="24"/>
          <w:szCs w:val="24"/>
        </w:rPr>
        <w:t>3</w:t>
      </w:r>
      <w:r w:rsidRPr="005A7319">
        <w:rPr>
          <w:rFonts w:ascii="Times New Roman" w:hAnsi="Times New Roman" w:cs="Times New Roman"/>
          <w:sz w:val="24"/>
          <w:szCs w:val="24"/>
        </w:rPr>
        <w:t xml:space="preserve"> pred jeho schválením (ďalej len Návrh rozpočtu). Návrh rozpočtu v plnom znení mi bol doručený elektronicky dňa </w:t>
      </w:r>
      <w:r w:rsidR="004A3E46" w:rsidRPr="005A7319">
        <w:rPr>
          <w:rFonts w:ascii="Times New Roman" w:hAnsi="Times New Roman" w:cs="Times New Roman"/>
          <w:sz w:val="24"/>
          <w:szCs w:val="24"/>
        </w:rPr>
        <w:br/>
      </w:r>
      <w:r w:rsidR="007310F5">
        <w:rPr>
          <w:rFonts w:ascii="Times New Roman" w:hAnsi="Times New Roman" w:cs="Times New Roman"/>
          <w:sz w:val="24"/>
          <w:szCs w:val="24"/>
        </w:rPr>
        <w:t>30</w:t>
      </w:r>
      <w:r w:rsidRPr="005A7319">
        <w:rPr>
          <w:rFonts w:ascii="Times New Roman" w:hAnsi="Times New Roman" w:cs="Times New Roman"/>
          <w:sz w:val="24"/>
          <w:szCs w:val="24"/>
        </w:rPr>
        <w:t xml:space="preserve">. </w:t>
      </w:r>
      <w:r w:rsidR="004A3E46" w:rsidRPr="005A7319">
        <w:rPr>
          <w:rFonts w:ascii="Times New Roman" w:hAnsi="Times New Roman" w:cs="Times New Roman"/>
          <w:sz w:val="24"/>
          <w:szCs w:val="24"/>
        </w:rPr>
        <w:t>novembra</w:t>
      </w:r>
      <w:r w:rsidRPr="005A7319">
        <w:rPr>
          <w:rFonts w:ascii="Times New Roman" w:hAnsi="Times New Roman" w:cs="Times New Roman"/>
          <w:sz w:val="24"/>
          <w:szCs w:val="24"/>
        </w:rPr>
        <w:t xml:space="preserve"> 20</w:t>
      </w:r>
      <w:r w:rsidR="007310F5">
        <w:rPr>
          <w:rFonts w:ascii="Times New Roman" w:hAnsi="Times New Roman" w:cs="Times New Roman"/>
          <w:sz w:val="24"/>
          <w:szCs w:val="24"/>
        </w:rPr>
        <w:t>20</w:t>
      </w:r>
      <w:r w:rsidRPr="005A7319">
        <w:rPr>
          <w:rFonts w:ascii="Times New Roman" w:hAnsi="Times New Roman" w:cs="Times New Roman"/>
          <w:sz w:val="24"/>
          <w:szCs w:val="24"/>
        </w:rPr>
        <w:t>.</w:t>
      </w:r>
    </w:p>
    <w:p w:rsidR="005125CC" w:rsidRPr="005A7319" w:rsidRDefault="005125CC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5CC" w:rsidRPr="005A7319" w:rsidRDefault="00921D94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Pri spracovaní odborného stanoviska k Návrhu rozpočtu som posudzoval jeho súlad s:</w:t>
      </w:r>
    </w:p>
    <w:p w:rsidR="003F7C2B" w:rsidRPr="005A7319" w:rsidRDefault="003F7C2B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94" w:rsidRPr="005A7319" w:rsidRDefault="00921D94" w:rsidP="006265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E1">
        <w:rPr>
          <w:rFonts w:ascii="Times New Roman" w:hAnsi="Times New Roman" w:cs="Times New Roman"/>
          <w:b/>
          <w:sz w:val="24"/>
          <w:szCs w:val="24"/>
        </w:rPr>
        <w:t>Všeobecn</w:t>
      </w:r>
      <w:r w:rsidR="007310F5">
        <w:rPr>
          <w:rFonts w:ascii="Times New Roman" w:hAnsi="Times New Roman" w:cs="Times New Roman"/>
          <w:b/>
          <w:sz w:val="24"/>
          <w:szCs w:val="24"/>
        </w:rPr>
        <w:t xml:space="preserve">ými </w:t>
      </w:r>
      <w:r w:rsidRPr="005A7319">
        <w:rPr>
          <w:rFonts w:ascii="Times New Roman" w:hAnsi="Times New Roman" w:cs="Times New Roman"/>
          <w:b/>
          <w:sz w:val="24"/>
          <w:szCs w:val="24"/>
        </w:rPr>
        <w:t xml:space="preserve"> záväznými právnymi predpismi a to najmä: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ústavným zákonom č. 493/2011 Z. z. o rozpočtovej zodpovednosti</w:t>
      </w:r>
      <w:r w:rsidR="00A56AE1">
        <w:rPr>
          <w:rFonts w:ascii="Times New Roman" w:hAnsi="Times New Roman" w:cs="Times New Roman"/>
          <w:sz w:val="24"/>
          <w:szCs w:val="24"/>
        </w:rPr>
        <w:t>,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zákonom č. 583/2004 Z. z. o rozpočtových pravidlách územnej samosprávy a o zmene a doplnení niektorých zákonov</w:t>
      </w:r>
      <w:r w:rsidR="00F3094D">
        <w:rPr>
          <w:rFonts w:ascii="Times New Roman" w:hAnsi="Times New Roman" w:cs="Times New Roman"/>
          <w:sz w:val="24"/>
          <w:szCs w:val="24"/>
        </w:rPr>
        <w:t xml:space="preserve"> v znení neskorších predpisov,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zákonom č. 523/2004 Z. z. o rozpočtových pravidlách verejnej správy a o zmene a doplnení niektorých zákonov</w:t>
      </w:r>
      <w:r w:rsidR="005B31D2">
        <w:rPr>
          <w:rFonts w:ascii="Times New Roman" w:hAnsi="Times New Roman" w:cs="Times New Roman"/>
          <w:sz w:val="24"/>
          <w:szCs w:val="24"/>
        </w:rPr>
        <w:t xml:space="preserve"> v znení neskorších predpisov,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zákonom č. 369/1990 Zb. o obecnom zriadení v znení neskorších predpisov,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 xml:space="preserve">zákonom č. 564/2004 Z. z. o rozpočtovom určení výnosu dane z príjmov územnej samospráve a o zmene a doplnení niektorých zákonov, </w:t>
      </w:r>
    </w:p>
    <w:p w:rsidR="00921D94" w:rsidRPr="00B347AB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7AB">
        <w:rPr>
          <w:rFonts w:ascii="Times New Roman" w:hAnsi="Times New Roman" w:cs="Times New Roman"/>
          <w:sz w:val="24"/>
          <w:szCs w:val="24"/>
        </w:rPr>
        <w:t xml:space="preserve">zákonom č. 597/2003 Z. z. </w:t>
      </w:r>
      <w:r w:rsidRPr="00B347AB">
        <w:rPr>
          <w:rFonts w:ascii="Times New Roman" w:hAnsi="Times New Roman" w:cs="Times New Roman"/>
          <w:color w:val="000000"/>
          <w:sz w:val="24"/>
          <w:szCs w:val="24"/>
        </w:rPr>
        <w:t>o financovaní základných škôl, stredných škôl a školských zariadení v znení neskorších predpisov,</w:t>
      </w:r>
    </w:p>
    <w:p w:rsidR="00921D94" w:rsidRPr="00B347AB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7AB">
        <w:rPr>
          <w:rFonts w:ascii="Times New Roman" w:hAnsi="Times New Roman" w:cs="Times New Roman"/>
          <w:sz w:val="24"/>
          <w:szCs w:val="24"/>
        </w:rPr>
        <w:t>zákonom č. 582/2004 Z. z. o miestnych daniach a miestnom poplatku za komunálne odpady a drobné stavebné odpady v znení neskorších predpisov,</w:t>
      </w:r>
    </w:p>
    <w:p w:rsidR="00A56AE1" w:rsidRPr="00B347AB" w:rsidRDefault="0089764D" w:rsidP="00A56AE1">
      <w:pPr>
        <w:pStyle w:val="Obyaj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47AB">
        <w:rPr>
          <w:rFonts w:ascii="Times New Roman" w:hAnsi="Times New Roman" w:cs="Times New Roman"/>
          <w:sz w:val="24"/>
          <w:szCs w:val="24"/>
        </w:rPr>
        <w:t>nariadením vlády Slovenskej republiky č. 668/2004 Z. z. o rozdeľovaní výnosu dane</w:t>
      </w:r>
      <w:r w:rsidR="00A56AE1" w:rsidRPr="00B347AB">
        <w:rPr>
          <w:rFonts w:ascii="Times New Roman" w:hAnsi="Times New Roman" w:cs="Times New Roman"/>
          <w:sz w:val="24"/>
          <w:szCs w:val="24"/>
        </w:rPr>
        <w:t xml:space="preserve"> </w:t>
      </w:r>
      <w:r w:rsidRPr="00B347AB">
        <w:rPr>
          <w:rFonts w:ascii="Times New Roman" w:hAnsi="Times New Roman" w:cs="Times New Roman"/>
          <w:sz w:val="24"/>
          <w:szCs w:val="24"/>
        </w:rPr>
        <w:t>z príjmov územnej samospráve</w:t>
      </w:r>
      <w:r w:rsidR="00A56AE1" w:rsidRPr="00B347AB">
        <w:rPr>
          <w:rFonts w:ascii="Times New Roman" w:hAnsi="Times New Roman" w:cs="Times New Roman"/>
          <w:sz w:val="24"/>
          <w:szCs w:val="24"/>
        </w:rPr>
        <w:t>,</w:t>
      </w:r>
    </w:p>
    <w:p w:rsidR="00A56AE1" w:rsidRPr="00B347AB" w:rsidRDefault="00A56AE1" w:rsidP="00A56AE1">
      <w:pPr>
        <w:pStyle w:val="Obyaj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47AB">
        <w:rPr>
          <w:rFonts w:ascii="Times New Roman" w:hAnsi="Times New Roman" w:cs="Times New Roman"/>
          <w:sz w:val="24"/>
          <w:szCs w:val="24"/>
        </w:rPr>
        <w:t>zákonom NR SR č. 596/2003 Z. z. o štátnej správe v školstve a školskej samospráve a o zmene a doplnení niektorých zákonov</w:t>
      </w:r>
    </w:p>
    <w:p w:rsidR="00921D94" w:rsidRPr="00B347AB" w:rsidRDefault="00921D94" w:rsidP="00A56AE1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347AB">
        <w:rPr>
          <w:rFonts w:ascii="Times New Roman" w:hAnsi="Times New Roman" w:cs="Times New Roman"/>
          <w:sz w:val="24"/>
          <w:szCs w:val="24"/>
        </w:rPr>
        <w:t>a ostatnými normatívnymi právnymi predpismi, ktoré zakotvujú proces spracovania návrhu rozpočtu v územnej samospráve.</w:t>
      </w:r>
    </w:p>
    <w:p w:rsidR="003F7C2B" w:rsidRPr="005A7319" w:rsidRDefault="003F7C2B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u w:val="single"/>
        </w:rPr>
      </w:pPr>
    </w:p>
    <w:p w:rsidR="00921D94" w:rsidRPr="005A7319" w:rsidRDefault="00921D94" w:rsidP="006265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19">
        <w:rPr>
          <w:rFonts w:ascii="Times New Roman" w:hAnsi="Times New Roman" w:cs="Times New Roman"/>
          <w:b/>
          <w:sz w:val="24"/>
          <w:szCs w:val="24"/>
        </w:rPr>
        <w:t>Dokumentmi v gescii Ministerstva financií Slovenskej republiky a Štatistického úradu Slovenskej republiky: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bCs/>
          <w:sz w:val="24"/>
          <w:szCs w:val="24"/>
        </w:rPr>
        <w:t>Opatrením Ministerstva financií Slovenskej republiky č. MF/010175/2004-42, ktorým sa ustanovuje druhová klasifikácia, organizačná klasifikácia a ekonomická klasifikácia rozpočtovej klasifikácie v znení neskorších predpisov (ďalej len Opatrenie MF SR),</w:t>
      </w:r>
    </w:p>
    <w:p w:rsidR="00921D94" w:rsidRPr="005A7319" w:rsidRDefault="00921D94" w:rsidP="0062658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5A7319">
        <w:rPr>
          <w:rFonts w:ascii="Times New Roman" w:hAnsi="Times New Roman" w:cs="Times New Roman"/>
          <w:color w:val="auto"/>
        </w:rPr>
        <w:t>Príručkou č. MF/</w:t>
      </w:r>
      <w:r w:rsidR="004A3E46" w:rsidRPr="005A7319">
        <w:rPr>
          <w:rFonts w:ascii="Times New Roman" w:hAnsi="Times New Roman" w:cs="Times New Roman"/>
          <w:color w:val="auto"/>
        </w:rPr>
        <w:t>009</w:t>
      </w:r>
      <w:r w:rsidR="007310F5">
        <w:rPr>
          <w:rFonts w:ascii="Times New Roman" w:hAnsi="Times New Roman" w:cs="Times New Roman"/>
          <w:color w:val="auto"/>
        </w:rPr>
        <w:t>077</w:t>
      </w:r>
      <w:r w:rsidR="004A3E46" w:rsidRPr="005A7319">
        <w:rPr>
          <w:rFonts w:ascii="Times New Roman" w:hAnsi="Times New Roman" w:cs="Times New Roman"/>
          <w:color w:val="auto"/>
        </w:rPr>
        <w:t>/20</w:t>
      </w:r>
      <w:r w:rsidR="007310F5">
        <w:rPr>
          <w:rFonts w:ascii="Times New Roman" w:hAnsi="Times New Roman" w:cs="Times New Roman"/>
          <w:color w:val="auto"/>
        </w:rPr>
        <w:t>20</w:t>
      </w:r>
      <w:r w:rsidR="004A3E46" w:rsidRPr="005A7319">
        <w:rPr>
          <w:rFonts w:ascii="Times New Roman" w:hAnsi="Times New Roman" w:cs="Times New Roman"/>
          <w:color w:val="auto"/>
        </w:rPr>
        <w:t>-411</w:t>
      </w:r>
      <w:r w:rsidRPr="005A7319">
        <w:rPr>
          <w:rFonts w:ascii="Times New Roman" w:hAnsi="Times New Roman" w:cs="Times New Roman"/>
          <w:color w:val="auto"/>
        </w:rPr>
        <w:t xml:space="preserve"> na </w:t>
      </w:r>
      <w:r w:rsidRPr="005A7319">
        <w:rPr>
          <w:rFonts w:ascii="Times New Roman" w:hAnsi="Times New Roman" w:cs="Times New Roman"/>
          <w:bCs/>
          <w:color w:val="auto"/>
        </w:rPr>
        <w:t>zostavenie návrhu rozpočtu verejnej správy na roky 20</w:t>
      </w:r>
      <w:r w:rsidR="004A3E46" w:rsidRPr="005A7319">
        <w:rPr>
          <w:rFonts w:ascii="Times New Roman" w:hAnsi="Times New Roman" w:cs="Times New Roman"/>
          <w:bCs/>
          <w:color w:val="auto"/>
        </w:rPr>
        <w:t>2</w:t>
      </w:r>
      <w:r w:rsidR="007310F5">
        <w:rPr>
          <w:rFonts w:ascii="Times New Roman" w:hAnsi="Times New Roman" w:cs="Times New Roman"/>
          <w:bCs/>
          <w:color w:val="auto"/>
        </w:rPr>
        <w:t>1</w:t>
      </w:r>
      <w:r w:rsidRPr="005A7319">
        <w:rPr>
          <w:rFonts w:ascii="Times New Roman" w:hAnsi="Times New Roman" w:cs="Times New Roman"/>
          <w:bCs/>
          <w:color w:val="auto"/>
        </w:rPr>
        <w:t xml:space="preserve"> až 202</w:t>
      </w:r>
      <w:r w:rsidR="007310F5">
        <w:rPr>
          <w:rFonts w:ascii="Times New Roman" w:hAnsi="Times New Roman" w:cs="Times New Roman"/>
          <w:bCs/>
          <w:color w:val="auto"/>
        </w:rPr>
        <w:t>3</w:t>
      </w:r>
      <w:r w:rsidRPr="005A7319">
        <w:rPr>
          <w:rFonts w:ascii="Times New Roman" w:hAnsi="Times New Roman" w:cs="Times New Roman"/>
          <w:bCs/>
          <w:color w:val="auto"/>
        </w:rPr>
        <w:t xml:space="preserve"> v</w:t>
      </w:r>
      <w:r w:rsidR="006B4563">
        <w:rPr>
          <w:rFonts w:ascii="Times New Roman" w:hAnsi="Times New Roman" w:cs="Times New Roman"/>
          <w:bCs/>
          <w:color w:val="auto"/>
        </w:rPr>
        <w:t> platnom znení</w:t>
      </w:r>
      <w:r w:rsidR="00B00EBF" w:rsidRPr="006B4563">
        <w:rPr>
          <w:rFonts w:ascii="Times New Roman" w:hAnsi="Times New Roman" w:cs="Times New Roman"/>
          <w:color w:val="auto"/>
        </w:rPr>
        <w:t>,</w:t>
      </w:r>
    </w:p>
    <w:p w:rsidR="00921D94" w:rsidRPr="005A7319" w:rsidRDefault="00921D94" w:rsidP="001E074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bCs/>
          <w:sz w:val="24"/>
          <w:szCs w:val="24"/>
        </w:rPr>
        <w:t>Vyhláškou Štatistického úradu Slovenskej republiky č. 257/2014 Z. z., ktorou sa vydáva štatistická klasifikácia výdavkov verejnej správy (SK COFOG)</w:t>
      </w:r>
    </w:p>
    <w:p w:rsidR="003F7C2B" w:rsidRPr="005A7319" w:rsidRDefault="003F7C2B" w:rsidP="001E074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94" w:rsidRPr="005A7319" w:rsidRDefault="00921D94" w:rsidP="006265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7AB">
        <w:rPr>
          <w:rFonts w:ascii="Times New Roman" w:hAnsi="Times New Roman" w:cs="Times New Roman"/>
          <w:b/>
          <w:sz w:val="24"/>
          <w:szCs w:val="24"/>
        </w:rPr>
        <w:t>Všeobecne</w:t>
      </w:r>
      <w:r w:rsidRPr="005A7319">
        <w:rPr>
          <w:rFonts w:ascii="Times New Roman" w:hAnsi="Times New Roman" w:cs="Times New Roman"/>
          <w:b/>
          <w:sz w:val="24"/>
          <w:szCs w:val="24"/>
        </w:rPr>
        <w:t xml:space="preserve"> záväznými predpismi mestskej časti Bratislava-Petržalka a to: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 xml:space="preserve">všeobecne záväzným nariadením </w:t>
      </w:r>
      <w:r w:rsidR="005F65DA">
        <w:rPr>
          <w:rFonts w:ascii="Times New Roman" w:hAnsi="Times New Roman" w:cs="Times New Roman"/>
          <w:sz w:val="24"/>
          <w:szCs w:val="24"/>
        </w:rPr>
        <w:t>č. 1</w:t>
      </w:r>
      <w:r w:rsidR="007310F5">
        <w:rPr>
          <w:rFonts w:ascii="Times New Roman" w:hAnsi="Times New Roman" w:cs="Times New Roman"/>
          <w:sz w:val="24"/>
          <w:szCs w:val="24"/>
        </w:rPr>
        <w:t>2</w:t>
      </w:r>
      <w:r w:rsidR="005F65DA">
        <w:rPr>
          <w:rFonts w:ascii="Times New Roman" w:hAnsi="Times New Roman" w:cs="Times New Roman"/>
          <w:sz w:val="24"/>
          <w:szCs w:val="24"/>
        </w:rPr>
        <w:t>/20</w:t>
      </w:r>
      <w:r w:rsidR="007310F5">
        <w:rPr>
          <w:rFonts w:ascii="Times New Roman" w:hAnsi="Times New Roman" w:cs="Times New Roman"/>
          <w:sz w:val="24"/>
          <w:szCs w:val="24"/>
        </w:rPr>
        <w:t>20</w:t>
      </w:r>
      <w:r w:rsidR="005F65DA">
        <w:rPr>
          <w:rFonts w:ascii="Times New Roman" w:hAnsi="Times New Roman" w:cs="Times New Roman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sz w:val="24"/>
          <w:szCs w:val="24"/>
        </w:rPr>
        <w:t xml:space="preserve">(ďalej len VZN) </w:t>
      </w:r>
      <w:r w:rsidR="005F65DA">
        <w:rPr>
          <w:rFonts w:ascii="Times New Roman" w:hAnsi="Times New Roman" w:cs="Times New Roman"/>
          <w:sz w:val="24"/>
          <w:szCs w:val="24"/>
        </w:rPr>
        <w:t xml:space="preserve">ktorým sa mení a dopĺňa VZN </w:t>
      </w:r>
      <w:r w:rsidRPr="005A7319">
        <w:rPr>
          <w:rFonts w:ascii="Times New Roman" w:hAnsi="Times New Roman" w:cs="Times New Roman"/>
          <w:sz w:val="24"/>
          <w:szCs w:val="24"/>
        </w:rPr>
        <w:t>č. 5/2004 o miestnych daniach v znení neskorších predpisov,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bCs/>
          <w:sz w:val="24"/>
          <w:szCs w:val="24"/>
        </w:rPr>
        <w:t xml:space="preserve">VZN </w:t>
      </w:r>
      <w:r w:rsidR="005F65DA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E16598">
        <w:rPr>
          <w:rFonts w:ascii="Times New Roman" w:hAnsi="Times New Roman" w:cs="Times New Roman"/>
          <w:bCs/>
          <w:sz w:val="24"/>
          <w:szCs w:val="24"/>
        </w:rPr>
        <w:t>18</w:t>
      </w:r>
      <w:r w:rsidR="005F65DA">
        <w:rPr>
          <w:rFonts w:ascii="Times New Roman" w:hAnsi="Times New Roman" w:cs="Times New Roman"/>
          <w:bCs/>
          <w:sz w:val="24"/>
          <w:szCs w:val="24"/>
        </w:rPr>
        <w:t xml:space="preserve">/2019 ktorým sa mení a dopĺňa VZN </w:t>
      </w:r>
      <w:r w:rsidRPr="005A7319">
        <w:rPr>
          <w:rFonts w:ascii="Times New Roman" w:hAnsi="Times New Roman" w:cs="Times New Roman"/>
          <w:sz w:val="24"/>
          <w:szCs w:val="24"/>
        </w:rPr>
        <w:t xml:space="preserve">č. 1/2012 </w:t>
      </w:r>
      <w:r w:rsidRPr="005A7319">
        <w:rPr>
          <w:rFonts w:ascii="Times New Roman" w:hAnsi="Times New Roman" w:cs="Times New Roman"/>
          <w:bCs/>
          <w:sz w:val="24"/>
          <w:szCs w:val="24"/>
        </w:rPr>
        <w:t>o určení výšky príspevku a spôsobe jeho platby na čiastočnú úhradu nákladov v školách a školských zariadeniach mestskej časti Bratislava-Petržalka,</w:t>
      </w:r>
    </w:p>
    <w:p w:rsidR="00921D94" w:rsidRPr="005A7319" w:rsidRDefault="00921D94" w:rsidP="0062658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bCs/>
          <w:sz w:val="24"/>
          <w:szCs w:val="24"/>
        </w:rPr>
        <w:lastRenderedPageBreak/>
        <w:t>VZN č. 6/20</w:t>
      </w:r>
      <w:r w:rsidR="007310F5">
        <w:rPr>
          <w:rFonts w:ascii="Times New Roman" w:hAnsi="Times New Roman" w:cs="Times New Roman"/>
          <w:bCs/>
          <w:sz w:val="24"/>
          <w:szCs w:val="24"/>
        </w:rPr>
        <w:t>20 o poskytovaní a výške úhrady za sociálne služby</w:t>
      </w:r>
      <w:r w:rsidRPr="005A7319">
        <w:rPr>
          <w:rFonts w:ascii="Times New Roman" w:hAnsi="Times New Roman" w:cs="Times New Roman"/>
          <w:bCs/>
          <w:sz w:val="24"/>
          <w:szCs w:val="24"/>
        </w:rPr>
        <w:t>,</w:t>
      </w:r>
    </w:p>
    <w:p w:rsidR="00921D94" w:rsidRPr="005A7319" w:rsidRDefault="00921D94" w:rsidP="0062658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bCs/>
          <w:sz w:val="24"/>
          <w:szCs w:val="24"/>
        </w:rPr>
        <w:t>VZN č. 5/2017 o miestnom poplatku za rozvoj na území mestskej časti Bratislava-Petržalka</w:t>
      </w:r>
      <w:r w:rsidR="007310F5">
        <w:rPr>
          <w:rFonts w:ascii="Times New Roman" w:hAnsi="Times New Roman" w:cs="Times New Roman"/>
          <w:bCs/>
          <w:sz w:val="24"/>
          <w:szCs w:val="24"/>
        </w:rPr>
        <w:t xml:space="preserve"> v znení VZN č.21/2019</w:t>
      </w:r>
    </w:p>
    <w:p w:rsidR="00921D94" w:rsidRPr="005A7319" w:rsidRDefault="00921D94" w:rsidP="0062658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bCs/>
          <w:sz w:val="24"/>
          <w:szCs w:val="24"/>
        </w:rPr>
        <w:t xml:space="preserve">VZN </w:t>
      </w:r>
      <w:hyperlink r:id="rId9" w:history="1">
        <w:r w:rsidRPr="005A7319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č. 7/2015</w:t>
        </w:r>
      </w:hyperlink>
      <w:r w:rsidRPr="005A7319">
        <w:rPr>
          <w:rFonts w:ascii="Times New Roman" w:hAnsi="Times New Roman" w:cs="Times New Roman"/>
          <w:bCs/>
          <w:sz w:val="24"/>
          <w:szCs w:val="24"/>
        </w:rPr>
        <w:t xml:space="preserve"> o poskytovaní finančných dotácií z rozpočtu mestskej časti Bratislava-Petržalka,</w:t>
      </w:r>
    </w:p>
    <w:p w:rsidR="00921D94" w:rsidRPr="005A7319" w:rsidRDefault="00921D94" w:rsidP="0062658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bCs/>
          <w:sz w:val="24"/>
          <w:szCs w:val="24"/>
        </w:rPr>
        <w:t>VZN č. 6/2015 o poskytovaní nenávratného finančného príspevku na vzdelávanie detí v súkromných materských školách,</w:t>
      </w:r>
    </w:p>
    <w:p w:rsidR="007F40F7" w:rsidRPr="005F65DA" w:rsidRDefault="00921D94" w:rsidP="0062658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bCs/>
          <w:sz w:val="24"/>
          <w:szCs w:val="24"/>
        </w:rPr>
        <w:t xml:space="preserve">VZN č. 1/2018, ktorým sa mení a dopĺňa </w:t>
      </w:r>
      <w:hyperlink r:id="rId10" w:history="1">
        <w:r w:rsidRPr="005A7319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VZN č. 8/2009</w:t>
        </w:r>
      </w:hyperlink>
      <w:r w:rsidRPr="005A7319">
        <w:rPr>
          <w:rFonts w:ascii="Times New Roman" w:hAnsi="Times New Roman" w:cs="Times New Roman"/>
          <w:bCs/>
          <w:sz w:val="24"/>
          <w:szCs w:val="24"/>
        </w:rPr>
        <w:t xml:space="preserve"> o určení výšky dotácie na prevádzku a mzdy na dieťa materskej ško</w:t>
      </w:r>
      <w:r w:rsidR="005F65DA">
        <w:rPr>
          <w:rFonts w:ascii="Times New Roman" w:hAnsi="Times New Roman" w:cs="Times New Roman"/>
          <w:bCs/>
          <w:sz w:val="24"/>
          <w:szCs w:val="24"/>
        </w:rPr>
        <w:t>ly a dieťa školského zariadenia,</w:t>
      </w:r>
    </w:p>
    <w:p w:rsidR="005F65DA" w:rsidRPr="005A7319" w:rsidRDefault="005F65DA" w:rsidP="0062658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VZN č.8/2019 o poskytnutí zľavy z príspevku na čiastočnú úhradu výdavkov za pobyt dieťaťa v materskej škole v zriaďovateľskej pôsobnosti mestskej časti Bratislava-Petržalka.</w:t>
      </w:r>
    </w:p>
    <w:p w:rsidR="003F7C2B" w:rsidRPr="005A7319" w:rsidRDefault="003F7C2B" w:rsidP="0062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EFD" w:rsidRDefault="008B70DC" w:rsidP="0051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7AB">
        <w:rPr>
          <w:rFonts w:ascii="Times New Roman" w:hAnsi="Times New Roman" w:cs="Times New Roman"/>
          <w:sz w:val="24"/>
          <w:szCs w:val="24"/>
        </w:rPr>
        <w:t>Po preverení</w:t>
      </w:r>
      <w:r w:rsidRPr="005A7319">
        <w:rPr>
          <w:rFonts w:ascii="Times New Roman" w:hAnsi="Times New Roman" w:cs="Times New Roman"/>
          <w:sz w:val="24"/>
          <w:szCs w:val="24"/>
        </w:rPr>
        <w:t xml:space="preserve"> skutočností plynúcich z návrhu rozpočtu s normatívnymi právnymi predpismi, internými aktmi mestskej </w:t>
      </w:r>
      <w:r w:rsidR="00FC1D8B" w:rsidRPr="005A7319">
        <w:rPr>
          <w:rFonts w:ascii="Times New Roman" w:hAnsi="Times New Roman" w:cs="Times New Roman"/>
          <w:sz w:val="24"/>
          <w:szCs w:val="24"/>
        </w:rPr>
        <w:t xml:space="preserve">časti a metodickými príručkami </w:t>
      </w:r>
      <w:r w:rsidRPr="005A7319">
        <w:rPr>
          <w:rFonts w:ascii="Times New Roman" w:hAnsi="Times New Roman" w:cs="Times New Roman"/>
          <w:sz w:val="24"/>
          <w:szCs w:val="24"/>
        </w:rPr>
        <w:t>konštatujem nasledovné:</w:t>
      </w:r>
    </w:p>
    <w:p w:rsidR="001E0743" w:rsidRPr="005A7319" w:rsidRDefault="001E0743" w:rsidP="0051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09B" w:rsidRPr="00A8609B" w:rsidRDefault="00437712" w:rsidP="001F5E82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9B">
        <w:rPr>
          <w:rFonts w:ascii="Times New Roman" w:hAnsi="Times New Roman" w:cs="Times New Roman"/>
          <w:sz w:val="24"/>
          <w:szCs w:val="24"/>
        </w:rPr>
        <w:t>Návrh rozpočtu je spracovaný v súlade so zásadou tvorby rozpočtu pre rok 20</w:t>
      </w:r>
      <w:r w:rsidR="004A3E46" w:rsidRPr="00A8609B">
        <w:rPr>
          <w:rFonts w:ascii="Times New Roman" w:hAnsi="Times New Roman" w:cs="Times New Roman"/>
          <w:sz w:val="24"/>
          <w:szCs w:val="24"/>
        </w:rPr>
        <w:t>2</w:t>
      </w:r>
      <w:r w:rsidR="007310F5">
        <w:rPr>
          <w:rFonts w:ascii="Times New Roman" w:hAnsi="Times New Roman" w:cs="Times New Roman"/>
          <w:sz w:val="24"/>
          <w:szCs w:val="24"/>
        </w:rPr>
        <w:t>1</w:t>
      </w:r>
      <w:r w:rsidRPr="00A8609B">
        <w:rPr>
          <w:rFonts w:ascii="Times New Roman" w:hAnsi="Times New Roman" w:cs="Times New Roman"/>
          <w:sz w:val="24"/>
          <w:szCs w:val="24"/>
        </w:rPr>
        <w:t xml:space="preserve"> s ohľadom na roky 20</w:t>
      </w:r>
      <w:r w:rsidR="00357BB4" w:rsidRPr="00A8609B">
        <w:rPr>
          <w:rFonts w:ascii="Times New Roman" w:hAnsi="Times New Roman" w:cs="Times New Roman"/>
          <w:sz w:val="24"/>
          <w:szCs w:val="24"/>
        </w:rPr>
        <w:t>2</w:t>
      </w:r>
      <w:r w:rsidR="007310F5">
        <w:rPr>
          <w:rFonts w:ascii="Times New Roman" w:hAnsi="Times New Roman" w:cs="Times New Roman"/>
          <w:sz w:val="24"/>
          <w:szCs w:val="24"/>
        </w:rPr>
        <w:t>2</w:t>
      </w:r>
      <w:r w:rsidR="00357BB4" w:rsidRPr="00A8609B">
        <w:rPr>
          <w:rFonts w:ascii="Times New Roman" w:hAnsi="Times New Roman" w:cs="Times New Roman"/>
          <w:sz w:val="24"/>
          <w:szCs w:val="24"/>
        </w:rPr>
        <w:t xml:space="preserve"> </w:t>
      </w:r>
      <w:r w:rsidRPr="00A8609B">
        <w:rPr>
          <w:rFonts w:ascii="Times New Roman" w:hAnsi="Times New Roman" w:cs="Times New Roman"/>
          <w:sz w:val="24"/>
          <w:szCs w:val="24"/>
        </w:rPr>
        <w:t>a 20</w:t>
      </w:r>
      <w:r w:rsidR="00357BB4" w:rsidRPr="00A8609B">
        <w:rPr>
          <w:rFonts w:ascii="Times New Roman" w:hAnsi="Times New Roman" w:cs="Times New Roman"/>
          <w:sz w:val="24"/>
          <w:szCs w:val="24"/>
        </w:rPr>
        <w:t>2</w:t>
      </w:r>
      <w:r w:rsidR="007310F5">
        <w:rPr>
          <w:rFonts w:ascii="Times New Roman" w:hAnsi="Times New Roman" w:cs="Times New Roman"/>
          <w:sz w:val="24"/>
          <w:szCs w:val="24"/>
        </w:rPr>
        <w:t>3</w:t>
      </w:r>
      <w:r w:rsidRPr="00A8609B">
        <w:rPr>
          <w:rFonts w:ascii="Times New Roman" w:hAnsi="Times New Roman" w:cs="Times New Roman"/>
          <w:sz w:val="24"/>
          <w:szCs w:val="24"/>
        </w:rPr>
        <w:t xml:space="preserve"> ako viacročný rozpočet, ktorý slúži ako strednodobý ekonomický nástroj finančnej i rozpočtovej politiky mestskej časti. </w:t>
      </w:r>
      <w:r w:rsidRPr="00FD2151">
        <w:rPr>
          <w:rFonts w:ascii="Times New Roman" w:hAnsi="Times New Roman" w:cs="Times New Roman"/>
          <w:sz w:val="24"/>
          <w:szCs w:val="24"/>
        </w:rPr>
        <w:t xml:space="preserve">Návrh rozpočtu reaguje i na </w:t>
      </w:r>
      <w:r w:rsidR="00BC6F69" w:rsidRPr="00FD2151">
        <w:rPr>
          <w:rFonts w:ascii="Times New Roman" w:hAnsi="Times New Roman" w:cs="Times New Roman"/>
          <w:sz w:val="24"/>
          <w:szCs w:val="24"/>
        </w:rPr>
        <w:t>návrh zákona o štátnom rozpočte</w:t>
      </w:r>
      <w:r w:rsidR="00D16DCD" w:rsidRPr="00FD2151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7310F5">
        <w:rPr>
          <w:rFonts w:ascii="Times New Roman" w:hAnsi="Times New Roman" w:cs="Times New Roman"/>
          <w:sz w:val="24"/>
          <w:szCs w:val="24"/>
        </w:rPr>
        <w:t>1</w:t>
      </w:r>
      <w:r w:rsidR="00357BB4" w:rsidRPr="00FD2151">
        <w:rPr>
          <w:rFonts w:ascii="Times New Roman" w:hAnsi="Times New Roman" w:cs="Times New Roman"/>
          <w:sz w:val="24"/>
          <w:szCs w:val="24"/>
        </w:rPr>
        <w:t xml:space="preserve"> </w:t>
      </w:r>
      <w:r w:rsidRPr="00FD2151">
        <w:rPr>
          <w:rFonts w:ascii="Times New Roman" w:hAnsi="Times New Roman" w:cs="Times New Roman"/>
          <w:sz w:val="24"/>
          <w:szCs w:val="24"/>
        </w:rPr>
        <w:t>v rámci financovania preneseného výkonu štátnej správy prostredníctvom jednotlivých kapitol štátneho rozpočtu.</w:t>
      </w:r>
      <w:r w:rsidRPr="00A8609B">
        <w:rPr>
          <w:rFonts w:ascii="Times New Roman" w:hAnsi="Times New Roman" w:cs="Times New Roman"/>
          <w:sz w:val="24"/>
          <w:szCs w:val="24"/>
        </w:rPr>
        <w:t xml:space="preserve"> </w:t>
      </w:r>
      <w:r w:rsidR="006E3961" w:rsidRPr="00A8609B">
        <w:rPr>
          <w:rFonts w:ascii="Times New Roman" w:hAnsi="Times New Roman" w:cs="Times New Roman"/>
          <w:sz w:val="24"/>
          <w:szCs w:val="24"/>
        </w:rPr>
        <w:t>Pri zostavovaní návrhu rozpočtu na roky 202</w:t>
      </w:r>
      <w:r w:rsidR="007310F5">
        <w:rPr>
          <w:rFonts w:ascii="Times New Roman" w:hAnsi="Times New Roman" w:cs="Times New Roman"/>
          <w:sz w:val="24"/>
          <w:szCs w:val="24"/>
        </w:rPr>
        <w:t>1</w:t>
      </w:r>
      <w:r w:rsidR="006E3961" w:rsidRPr="00A8609B">
        <w:rPr>
          <w:rFonts w:ascii="Times New Roman" w:hAnsi="Times New Roman" w:cs="Times New Roman"/>
          <w:sz w:val="24"/>
          <w:szCs w:val="24"/>
        </w:rPr>
        <w:t xml:space="preserve"> – 202</w:t>
      </w:r>
      <w:r w:rsidR="007310F5">
        <w:rPr>
          <w:rFonts w:ascii="Times New Roman" w:hAnsi="Times New Roman" w:cs="Times New Roman"/>
          <w:sz w:val="24"/>
          <w:szCs w:val="24"/>
        </w:rPr>
        <w:t>3</w:t>
      </w:r>
      <w:r w:rsidR="006E3961" w:rsidRPr="00A8609B">
        <w:rPr>
          <w:rFonts w:ascii="Times New Roman" w:hAnsi="Times New Roman" w:cs="Times New Roman"/>
          <w:sz w:val="24"/>
          <w:szCs w:val="24"/>
        </w:rPr>
        <w:t xml:space="preserve"> finančné oddelenie miestneho úradu vychádzalo najmä z:</w:t>
      </w:r>
    </w:p>
    <w:p w:rsidR="00A8609B" w:rsidRPr="00A8609B" w:rsidRDefault="00A8609B" w:rsidP="00A8609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8609B">
        <w:rPr>
          <w:rFonts w:ascii="Times New Roman" w:hAnsi="Times New Roman" w:cs="Times New Roman"/>
          <w:sz w:val="24"/>
          <w:szCs w:val="24"/>
        </w:rPr>
        <w:t>aktuálnych prognóz daňových príjmov verejnej správy na roky 202</w:t>
      </w:r>
      <w:r w:rsidR="007310F5">
        <w:rPr>
          <w:rFonts w:ascii="Times New Roman" w:hAnsi="Times New Roman" w:cs="Times New Roman"/>
          <w:sz w:val="24"/>
          <w:szCs w:val="24"/>
        </w:rPr>
        <w:t>1</w:t>
      </w:r>
      <w:r w:rsidRPr="00A8609B">
        <w:rPr>
          <w:rFonts w:ascii="Times New Roman" w:hAnsi="Times New Roman" w:cs="Times New Roman"/>
          <w:sz w:val="24"/>
          <w:szCs w:val="24"/>
        </w:rPr>
        <w:t xml:space="preserve"> – 202</w:t>
      </w:r>
      <w:r w:rsidR="007310F5">
        <w:rPr>
          <w:rFonts w:ascii="Times New Roman" w:hAnsi="Times New Roman" w:cs="Times New Roman"/>
          <w:sz w:val="24"/>
          <w:szCs w:val="24"/>
        </w:rPr>
        <w:t>3</w:t>
      </w:r>
      <w:r w:rsidRPr="00A8609B">
        <w:rPr>
          <w:rFonts w:ascii="Times New Roman" w:hAnsi="Times New Roman" w:cs="Times New Roman"/>
          <w:sz w:val="24"/>
          <w:szCs w:val="24"/>
        </w:rPr>
        <w:t xml:space="preserve"> a očakávaných dopadov z legislatívnych zmien,</w:t>
      </w:r>
    </w:p>
    <w:p w:rsidR="00A8609B" w:rsidRPr="00A8609B" w:rsidRDefault="00A8609B" w:rsidP="00A8609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9B">
        <w:rPr>
          <w:rFonts w:ascii="Times New Roman" w:hAnsi="Times New Roman" w:cs="Times New Roman"/>
          <w:sz w:val="24"/>
          <w:szCs w:val="24"/>
        </w:rPr>
        <w:t>vývoja príjmov a výdavkov v predchádzajúcom období, t.j. zo skutočného plnenia rozpočtu k 31.12.201</w:t>
      </w:r>
      <w:r w:rsidR="007310F5">
        <w:rPr>
          <w:rFonts w:ascii="Times New Roman" w:hAnsi="Times New Roman" w:cs="Times New Roman"/>
          <w:sz w:val="24"/>
          <w:szCs w:val="24"/>
        </w:rPr>
        <w:t>9</w:t>
      </w:r>
      <w:r w:rsidRPr="00A8609B">
        <w:rPr>
          <w:rFonts w:ascii="Times New Roman" w:hAnsi="Times New Roman" w:cs="Times New Roman"/>
          <w:sz w:val="24"/>
          <w:szCs w:val="24"/>
        </w:rPr>
        <w:t>, z monitoring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8609B">
        <w:rPr>
          <w:rFonts w:ascii="Times New Roman" w:hAnsi="Times New Roman" w:cs="Times New Roman"/>
          <w:sz w:val="24"/>
          <w:szCs w:val="24"/>
        </w:rPr>
        <w:t xml:space="preserve"> vývoja rozpočtu v roku 20</w:t>
      </w:r>
      <w:r w:rsidR="007310F5">
        <w:rPr>
          <w:rFonts w:ascii="Times New Roman" w:hAnsi="Times New Roman" w:cs="Times New Roman"/>
          <w:sz w:val="24"/>
          <w:szCs w:val="24"/>
        </w:rPr>
        <w:t>20</w:t>
      </w:r>
      <w:r w:rsidRPr="00A8609B">
        <w:rPr>
          <w:rFonts w:ascii="Times New Roman" w:hAnsi="Times New Roman" w:cs="Times New Roman"/>
          <w:sz w:val="24"/>
          <w:szCs w:val="24"/>
        </w:rPr>
        <w:t xml:space="preserve"> a očakávaného plnenia k 31.12.20</w:t>
      </w:r>
      <w:r w:rsidR="007310F5">
        <w:rPr>
          <w:rFonts w:ascii="Times New Roman" w:hAnsi="Times New Roman" w:cs="Times New Roman"/>
          <w:sz w:val="24"/>
          <w:szCs w:val="24"/>
        </w:rPr>
        <w:t>20</w:t>
      </w:r>
      <w:r w:rsidRPr="00A8609B">
        <w:rPr>
          <w:rFonts w:ascii="Times New Roman" w:hAnsi="Times New Roman" w:cs="Times New Roman"/>
          <w:sz w:val="24"/>
          <w:szCs w:val="24"/>
        </w:rPr>
        <w:t>,</w:t>
      </w:r>
    </w:p>
    <w:p w:rsidR="00A8609B" w:rsidRPr="00A8609B" w:rsidRDefault="00A8609B" w:rsidP="00A8609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9B">
        <w:rPr>
          <w:rFonts w:ascii="Times New Roman" w:hAnsi="Times New Roman" w:cs="Times New Roman"/>
          <w:sz w:val="24"/>
          <w:szCs w:val="24"/>
        </w:rPr>
        <w:t>požiadaviek predložených z odborných útvarov miestneho ú</w:t>
      </w:r>
      <w:r w:rsidR="001D4A31">
        <w:rPr>
          <w:rFonts w:ascii="Times New Roman" w:hAnsi="Times New Roman" w:cs="Times New Roman"/>
          <w:sz w:val="24"/>
          <w:szCs w:val="24"/>
        </w:rPr>
        <w:t>radu i rozpočtových organizácií a príspevkovej organizácie</w:t>
      </w:r>
      <w:r w:rsidRPr="00A8609B">
        <w:rPr>
          <w:rFonts w:ascii="Times New Roman" w:hAnsi="Times New Roman" w:cs="Times New Roman"/>
          <w:sz w:val="24"/>
          <w:szCs w:val="24"/>
        </w:rPr>
        <w:t>.</w:t>
      </w:r>
    </w:p>
    <w:p w:rsidR="00437712" w:rsidRPr="006E3961" w:rsidRDefault="00D16DCD" w:rsidP="006E3961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highlight w:val="yellow"/>
        </w:rPr>
      </w:pPr>
      <w:r w:rsidRPr="006E3961">
        <w:rPr>
          <w:rFonts w:ascii="Times New Roman" w:hAnsi="Times New Roman" w:cs="Times New Roman"/>
          <w:sz w:val="24"/>
          <w:szCs w:val="24"/>
        </w:rPr>
        <w:t xml:space="preserve">Návrh rozpočtu </w:t>
      </w:r>
      <w:r w:rsidR="005A7319" w:rsidRPr="006E3961">
        <w:rPr>
          <w:rFonts w:ascii="Times New Roman" w:hAnsi="Times New Roman" w:cs="Times New Roman"/>
          <w:sz w:val="24"/>
          <w:szCs w:val="24"/>
        </w:rPr>
        <w:t xml:space="preserve">pre rozpočtový </w:t>
      </w:r>
      <w:r w:rsidRPr="006E3961">
        <w:rPr>
          <w:rFonts w:ascii="Times New Roman" w:hAnsi="Times New Roman" w:cs="Times New Roman"/>
          <w:sz w:val="24"/>
          <w:szCs w:val="24"/>
        </w:rPr>
        <w:t>rok 202</w:t>
      </w:r>
      <w:r w:rsidR="008967B3">
        <w:rPr>
          <w:rFonts w:ascii="Times New Roman" w:hAnsi="Times New Roman" w:cs="Times New Roman"/>
          <w:sz w:val="24"/>
          <w:szCs w:val="24"/>
        </w:rPr>
        <w:t>1</w:t>
      </w:r>
      <w:r w:rsidRPr="006E3961">
        <w:rPr>
          <w:rFonts w:ascii="Times New Roman" w:hAnsi="Times New Roman" w:cs="Times New Roman"/>
          <w:sz w:val="24"/>
          <w:szCs w:val="24"/>
        </w:rPr>
        <w:t xml:space="preserve"> je v súlade so zákonnými predpismi</w:t>
      </w:r>
      <w:r w:rsidR="00437712" w:rsidRPr="006E3961">
        <w:rPr>
          <w:rFonts w:ascii="Times New Roman" w:hAnsi="Times New Roman" w:cs="Times New Roman"/>
          <w:sz w:val="24"/>
          <w:szCs w:val="24"/>
        </w:rPr>
        <w:t xml:space="preserve">  konštruovaný ako vyrovnaný</w:t>
      </w:r>
      <w:r w:rsidRPr="006E3961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8967B3">
        <w:rPr>
          <w:rFonts w:ascii="Times New Roman" w:hAnsi="Times New Roman" w:cs="Times New Roman"/>
          <w:sz w:val="24"/>
          <w:szCs w:val="24"/>
        </w:rPr>
        <w:t>51</w:t>
      </w:r>
      <w:r w:rsidRPr="006E3961">
        <w:rPr>
          <w:rFonts w:ascii="Times New Roman" w:hAnsi="Times New Roman" w:cs="Times New Roman"/>
          <w:sz w:val="24"/>
          <w:szCs w:val="24"/>
        </w:rPr>
        <w:t> </w:t>
      </w:r>
      <w:r w:rsidR="008967B3">
        <w:rPr>
          <w:rFonts w:ascii="Times New Roman" w:hAnsi="Times New Roman" w:cs="Times New Roman"/>
          <w:sz w:val="24"/>
          <w:szCs w:val="24"/>
        </w:rPr>
        <w:t>436</w:t>
      </w:r>
      <w:r w:rsidRPr="006E3961">
        <w:rPr>
          <w:rFonts w:ascii="Times New Roman" w:hAnsi="Times New Roman" w:cs="Times New Roman"/>
          <w:sz w:val="24"/>
          <w:szCs w:val="24"/>
        </w:rPr>
        <w:t> </w:t>
      </w:r>
      <w:r w:rsidR="008967B3">
        <w:rPr>
          <w:rFonts w:ascii="Times New Roman" w:hAnsi="Times New Roman" w:cs="Times New Roman"/>
          <w:sz w:val="24"/>
          <w:szCs w:val="24"/>
        </w:rPr>
        <w:t>981</w:t>
      </w:r>
      <w:r w:rsidRPr="006E3961">
        <w:rPr>
          <w:rFonts w:ascii="Times New Roman" w:hAnsi="Times New Roman" w:cs="Times New Roman"/>
          <w:sz w:val="24"/>
          <w:szCs w:val="24"/>
        </w:rPr>
        <w:t xml:space="preserve"> EUR,</w:t>
      </w:r>
      <w:r w:rsidR="00357BB4" w:rsidRPr="006E3961">
        <w:rPr>
          <w:rFonts w:ascii="Times New Roman" w:hAnsi="Times New Roman" w:cs="Times New Roman"/>
          <w:sz w:val="24"/>
          <w:szCs w:val="24"/>
        </w:rPr>
        <w:t xml:space="preserve"> Kapitálový rozpočet je zostavený ako schodkový (v sume </w:t>
      </w:r>
      <w:r w:rsidR="008967B3">
        <w:rPr>
          <w:rFonts w:ascii="Times New Roman" w:hAnsi="Times New Roman" w:cs="Times New Roman"/>
          <w:sz w:val="24"/>
          <w:szCs w:val="24"/>
        </w:rPr>
        <w:t>4</w:t>
      </w:r>
      <w:r w:rsidRPr="006E3961">
        <w:rPr>
          <w:rFonts w:ascii="Times New Roman" w:hAnsi="Times New Roman" w:cs="Times New Roman"/>
          <w:sz w:val="24"/>
          <w:szCs w:val="24"/>
        </w:rPr>
        <w:t> </w:t>
      </w:r>
      <w:r w:rsidR="008967B3">
        <w:rPr>
          <w:rFonts w:ascii="Times New Roman" w:hAnsi="Times New Roman" w:cs="Times New Roman"/>
          <w:sz w:val="24"/>
          <w:szCs w:val="24"/>
        </w:rPr>
        <w:t>897</w:t>
      </w:r>
      <w:r w:rsidRPr="006E3961">
        <w:rPr>
          <w:rFonts w:ascii="Times New Roman" w:hAnsi="Times New Roman" w:cs="Times New Roman"/>
          <w:sz w:val="24"/>
          <w:szCs w:val="24"/>
        </w:rPr>
        <w:t xml:space="preserve"> </w:t>
      </w:r>
      <w:r w:rsidR="008967B3">
        <w:rPr>
          <w:rFonts w:ascii="Times New Roman" w:hAnsi="Times New Roman" w:cs="Times New Roman"/>
          <w:sz w:val="24"/>
          <w:szCs w:val="24"/>
        </w:rPr>
        <w:t>573</w:t>
      </w:r>
      <w:r w:rsidR="00A95953" w:rsidRPr="006E3961">
        <w:rPr>
          <w:rFonts w:ascii="Times New Roman" w:hAnsi="Times New Roman" w:cs="Times New Roman"/>
          <w:sz w:val="24"/>
          <w:szCs w:val="24"/>
        </w:rPr>
        <w:t xml:space="preserve"> </w:t>
      </w:r>
      <w:r w:rsidR="00357BB4" w:rsidRPr="006E3961">
        <w:rPr>
          <w:rFonts w:ascii="Times New Roman" w:hAnsi="Times New Roman" w:cs="Times New Roman"/>
          <w:sz w:val="24"/>
          <w:szCs w:val="24"/>
        </w:rPr>
        <w:t xml:space="preserve">EUR), pričom schodok je krytý prebytkom bežného rozpočtu </w:t>
      </w:r>
      <w:r w:rsidR="00575000" w:rsidRPr="006E3961">
        <w:rPr>
          <w:rFonts w:ascii="Times New Roman" w:hAnsi="Times New Roman" w:cs="Times New Roman"/>
          <w:sz w:val="24"/>
          <w:szCs w:val="24"/>
        </w:rPr>
        <w:t xml:space="preserve">a prebytkom finančných operácií </w:t>
      </w:r>
      <w:r w:rsidR="00357BB4" w:rsidRPr="006E3961">
        <w:rPr>
          <w:rFonts w:ascii="Times New Roman" w:hAnsi="Times New Roman" w:cs="Times New Roman"/>
          <w:sz w:val="24"/>
          <w:szCs w:val="24"/>
        </w:rPr>
        <w:t>v plnej výške</w:t>
      </w:r>
      <w:r w:rsidR="00575000" w:rsidRPr="006E3961">
        <w:rPr>
          <w:rFonts w:ascii="Times New Roman" w:hAnsi="Times New Roman" w:cs="Times New Roman"/>
          <w:sz w:val="24"/>
          <w:szCs w:val="24"/>
        </w:rPr>
        <w:t>.</w:t>
      </w:r>
      <w:r w:rsidR="00357BB4" w:rsidRPr="006E3961">
        <w:rPr>
          <w:rFonts w:ascii="Times New Roman" w:hAnsi="Times New Roman" w:cs="Times New Roman"/>
          <w:sz w:val="24"/>
          <w:szCs w:val="24"/>
        </w:rPr>
        <w:t xml:space="preserve"> Zostavenie kapitálového rozpočtu ako schodkového s krytím schodku z prebytku bežného rozpočtu a rozpočtu finančných operácií (peňažných fondov) je v súlade s </w:t>
      </w:r>
      <w:r w:rsidRPr="006E3961">
        <w:rPr>
          <w:rFonts w:ascii="Times New Roman" w:hAnsi="Times New Roman" w:cs="Times New Roman"/>
          <w:sz w:val="24"/>
          <w:szCs w:val="24"/>
        </w:rPr>
        <w:br/>
      </w:r>
      <w:r w:rsidR="00357BB4" w:rsidRPr="006E3961">
        <w:rPr>
          <w:rFonts w:ascii="Times New Roman" w:hAnsi="Times New Roman" w:cs="Times New Roman"/>
          <w:sz w:val="24"/>
          <w:szCs w:val="24"/>
        </w:rPr>
        <w:t xml:space="preserve">§ 10 ods. 7 zákona o rozpočtových pravidlách územnej samosprávy. </w:t>
      </w:r>
      <w:r w:rsidR="00437712" w:rsidRPr="006E3961">
        <w:rPr>
          <w:rFonts w:ascii="Times New Roman" w:hAnsi="Times New Roman" w:cs="Times New Roman"/>
          <w:sz w:val="24"/>
          <w:szCs w:val="24"/>
        </w:rPr>
        <w:t>Návrh rozpočtu obsahuje aj príjmy a výdavky 1</w:t>
      </w:r>
      <w:r w:rsidR="008967B3">
        <w:rPr>
          <w:rFonts w:ascii="Times New Roman" w:hAnsi="Times New Roman" w:cs="Times New Roman"/>
          <w:sz w:val="24"/>
          <w:szCs w:val="24"/>
        </w:rPr>
        <w:t>4</w:t>
      </w:r>
      <w:r w:rsidR="00437712" w:rsidRPr="006E3961">
        <w:rPr>
          <w:rFonts w:ascii="Times New Roman" w:hAnsi="Times New Roman" w:cs="Times New Roman"/>
          <w:sz w:val="24"/>
          <w:szCs w:val="24"/>
        </w:rPr>
        <w:t xml:space="preserve"> rozpočtových organizácií</w:t>
      </w:r>
      <w:r w:rsidR="00A442F4">
        <w:rPr>
          <w:rFonts w:ascii="Times New Roman" w:hAnsi="Times New Roman" w:cs="Times New Roman"/>
          <w:sz w:val="24"/>
          <w:szCs w:val="24"/>
        </w:rPr>
        <w:t xml:space="preserve"> a jednej príspevkovej organizácie</w:t>
      </w:r>
      <w:r w:rsidR="002D70F3" w:rsidRPr="006E3961">
        <w:rPr>
          <w:rFonts w:ascii="Times New Roman" w:hAnsi="Times New Roman" w:cs="Times New Roman"/>
          <w:sz w:val="24"/>
          <w:szCs w:val="24"/>
        </w:rPr>
        <w:t xml:space="preserve"> v zriaďovateľskej pôsobnosti mestskej časti.</w:t>
      </w:r>
      <w:r w:rsidR="004829E4" w:rsidRPr="006E3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C2B" w:rsidRPr="005A7319" w:rsidRDefault="003F7C2B" w:rsidP="003F7C2B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57BB4" w:rsidRPr="006E3961" w:rsidRDefault="00357BB4" w:rsidP="001F5E82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61">
        <w:rPr>
          <w:rFonts w:ascii="Times New Roman" w:hAnsi="Times New Roman" w:cs="Times New Roman"/>
          <w:sz w:val="24"/>
          <w:szCs w:val="24"/>
        </w:rPr>
        <w:t>Viacročný návrh rozpočtu je spracovaný v súlade s ustanovením § 9 ods. 1 písm. a) až c) zákona č. 583/2004 Z. z. o rozpočtových pravidlách územnej samosprávy a o zmene a doplnení niektorých zákonov (ďalej len zákon o rozpočtových pravidlách územnej samosprávy) ako rozpočet pre rozpočtový rok 20</w:t>
      </w:r>
      <w:r w:rsidR="005A7319" w:rsidRPr="006E3961">
        <w:rPr>
          <w:rFonts w:ascii="Times New Roman" w:hAnsi="Times New Roman" w:cs="Times New Roman"/>
          <w:sz w:val="24"/>
          <w:szCs w:val="24"/>
        </w:rPr>
        <w:t>2</w:t>
      </w:r>
      <w:r w:rsidR="008967B3">
        <w:rPr>
          <w:rFonts w:ascii="Times New Roman" w:hAnsi="Times New Roman" w:cs="Times New Roman"/>
          <w:sz w:val="24"/>
          <w:szCs w:val="24"/>
        </w:rPr>
        <w:t>1</w:t>
      </w:r>
      <w:r w:rsidRPr="006E3961">
        <w:rPr>
          <w:rFonts w:ascii="Times New Roman" w:hAnsi="Times New Roman" w:cs="Times New Roman"/>
          <w:sz w:val="24"/>
          <w:szCs w:val="24"/>
        </w:rPr>
        <w:t xml:space="preserve"> a na dva nasledujúce rozpočtové roky, ktoré sú v zmysle ustanovenia § 9 ods. 4 iba informatívne a toho času nezáväzné. </w:t>
      </w:r>
    </w:p>
    <w:p w:rsidR="003F7C2B" w:rsidRPr="005A7319" w:rsidRDefault="003F7C2B" w:rsidP="003F7C2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BB4" w:rsidRPr="006E3961" w:rsidRDefault="00357BB4" w:rsidP="001F5E82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61">
        <w:rPr>
          <w:rFonts w:ascii="Times New Roman" w:hAnsi="Times New Roman" w:cs="Times New Roman"/>
          <w:sz w:val="24"/>
          <w:szCs w:val="24"/>
        </w:rPr>
        <w:t>Návrh rozpočtu pre rozpočtový rok 20</w:t>
      </w:r>
      <w:r w:rsidR="005A7319" w:rsidRPr="006E3961">
        <w:rPr>
          <w:rFonts w:ascii="Times New Roman" w:hAnsi="Times New Roman" w:cs="Times New Roman"/>
          <w:sz w:val="24"/>
          <w:szCs w:val="24"/>
        </w:rPr>
        <w:t>2</w:t>
      </w:r>
      <w:r w:rsidR="008967B3">
        <w:rPr>
          <w:rFonts w:ascii="Times New Roman" w:hAnsi="Times New Roman" w:cs="Times New Roman"/>
          <w:sz w:val="24"/>
          <w:szCs w:val="24"/>
        </w:rPr>
        <w:t>1</w:t>
      </w:r>
      <w:r w:rsidRPr="006E3961">
        <w:rPr>
          <w:rFonts w:ascii="Times New Roman" w:hAnsi="Times New Roman" w:cs="Times New Roman"/>
          <w:sz w:val="24"/>
          <w:szCs w:val="24"/>
        </w:rPr>
        <w:t xml:space="preserve"> je v súlade so zákonom o rozpočtových pravidlách územnej samosprávy zložený z bežného rozpočtu, kapitálového rozpočtu a z príjmových i výdavkových finančných operácií. Návrhy informatívnych rozpočtov pre roky 202</w:t>
      </w:r>
      <w:r w:rsidR="008967B3">
        <w:rPr>
          <w:rFonts w:ascii="Times New Roman" w:hAnsi="Times New Roman" w:cs="Times New Roman"/>
          <w:sz w:val="24"/>
          <w:szCs w:val="24"/>
        </w:rPr>
        <w:t>2</w:t>
      </w:r>
      <w:r w:rsidRPr="006E3961">
        <w:rPr>
          <w:rFonts w:ascii="Times New Roman" w:hAnsi="Times New Roman" w:cs="Times New Roman"/>
          <w:sz w:val="24"/>
          <w:szCs w:val="24"/>
        </w:rPr>
        <w:t xml:space="preserve"> a 202</w:t>
      </w:r>
      <w:r w:rsidR="008967B3">
        <w:rPr>
          <w:rFonts w:ascii="Times New Roman" w:hAnsi="Times New Roman" w:cs="Times New Roman"/>
          <w:sz w:val="24"/>
          <w:szCs w:val="24"/>
        </w:rPr>
        <w:t>3</w:t>
      </w:r>
      <w:r w:rsidRPr="006E3961">
        <w:rPr>
          <w:rFonts w:ascii="Times New Roman" w:hAnsi="Times New Roman" w:cs="Times New Roman"/>
          <w:sz w:val="24"/>
          <w:szCs w:val="24"/>
        </w:rPr>
        <w:t xml:space="preserve"> sú spracované v súlade s ustanovením § 9 ods. 3 zákona </w:t>
      </w:r>
      <w:r w:rsidRPr="006E3961">
        <w:rPr>
          <w:rFonts w:ascii="Times New Roman" w:hAnsi="Times New Roman" w:cs="Times New Roman"/>
          <w:sz w:val="24"/>
          <w:szCs w:val="24"/>
        </w:rPr>
        <w:lastRenderedPageBreak/>
        <w:t>o rozpočtových pravidlách územnej samosprávy v rovnakom členení ako návrh rozpočtu pre rozpočtový rok 20</w:t>
      </w:r>
      <w:r w:rsidR="005A7319" w:rsidRPr="006E3961">
        <w:rPr>
          <w:rFonts w:ascii="Times New Roman" w:hAnsi="Times New Roman" w:cs="Times New Roman"/>
          <w:sz w:val="24"/>
          <w:szCs w:val="24"/>
        </w:rPr>
        <w:t>2</w:t>
      </w:r>
      <w:r w:rsidR="008967B3">
        <w:rPr>
          <w:rFonts w:ascii="Times New Roman" w:hAnsi="Times New Roman" w:cs="Times New Roman"/>
          <w:sz w:val="24"/>
          <w:szCs w:val="24"/>
        </w:rPr>
        <w:t>1</w:t>
      </w:r>
      <w:r w:rsidRPr="006E39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C2B" w:rsidRPr="005A7319" w:rsidRDefault="003F7C2B" w:rsidP="003F7C2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743" w:rsidRDefault="00357BB4" w:rsidP="001F5E82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961">
        <w:rPr>
          <w:rFonts w:ascii="Times New Roman" w:hAnsi="Times New Roman" w:cs="Times New Roman"/>
          <w:sz w:val="24"/>
          <w:szCs w:val="24"/>
        </w:rPr>
        <w:t>Rozpočet príjmov pre rok 20</w:t>
      </w:r>
      <w:r w:rsidR="00834E89" w:rsidRPr="006E3961">
        <w:rPr>
          <w:rFonts w:ascii="Times New Roman" w:hAnsi="Times New Roman" w:cs="Times New Roman"/>
          <w:sz w:val="24"/>
          <w:szCs w:val="24"/>
        </w:rPr>
        <w:t>2</w:t>
      </w:r>
      <w:r w:rsidR="008967B3">
        <w:rPr>
          <w:rFonts w:ascii="Times New Roman" w:hAnsi="Times New Roman" w:cs="Times New Roman"/>
          <w:sz w:val="24"/>
          <w:szCs w:val="24"/>
        </w:rPr>
        <w:t>1</w:t>
      </w:r>
      <w:r w:rsidRPr="006E3961">
        <w:rPr>
          <w:rFonts w:ascii="Times New Roman" w:hAnsi="Times New Roman" w:cs="Times New Roman"/>
          <w:sz w:val="24"/>
          <w:szCs w:val="24"/>
        </w:rPr>
        <w:t xml:space="preserve"> je rozpočtovaný vo výške </w:t>
      </w:r>
      <w:r w:rsidR="008967B3">
        <w:rPr>
          <w:rFonts w:ascii="Times New Roman" w:hAnsi="Times New Roman" w:cs="Times New Roman"/>
          <w:sz w:val="24"/>
          <w:szCs w:val="24"/>
        </w:rPr>
        <w:t>51</w:t>
      </w:r>
      <w:r w:rsidR="00834E89" w:rsidRPr="006E3961">
        <w:rPr>
          <w:rFonts w:ascii="Times New Roman" w:hAnsi="Times New Roman" w:cs="Times New Roman"/>
          <w:bCs/>
          <w:sz w:val="24"/>
          <w:szCs w:val="24"/>
        </w:rPr>
        <w:t> </w:t>
      </w:r>
      <w:r w:rsidR="008967B3">
        <w:rPr>
          <w:rFonts w:ascii="Times New Roman" w:hAnsi="Times New Roman" w:cs="Times New Roman"/>
          <w:bCs/>
          <w:sz w:val="24"/>
          <w:szCs w:val="24"/>
        </w:rPr>
        <w:t>436</w:t>
      </w:r>
      <w:r w:rsidR="00834E89" w:rsidRPr="006E3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7B3">
        <w:rPr>
          <w:rFonts w:ascii="Times New Roman" w:hAnsi="Times New Roman" w:cs="Times New Roman"/>
          <w:bCs/>
          <w:sz w:val="24"/>
          <w:szCs w:val="24"/>
        </w:rPr>
        <w:t>981</w:t>
      </w:r>
      <w:r w:rsidR="00A95953" w:rsidRPr="006E3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961">
        <w:rPr>
          <w:rFonts w:ascii="Times New Roman" w:hAnsi="Times New Roman" w:cs="Times New Roman"/>
          <w:bCs/>
          <w:sz w:val="24"/>
          <w:szCs w:val="24"/>
        </w:rPr>
        <w:t xml:space="preserve">EUR. </w:t>
      </w:r>
      <w:r w:rsidR="001B2920" w:rsidRPr="006E3961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E3961">
        <w:rPr>
          <w:rFonts w:ascii="Times New Roman" w:hAnsi="Times New Roman" w:cs="Times New Roman"/>
          <w:bCs/>
          <w:sz w:val="24"/>
          <w:szCs w:val="24"/>
        </w:rPr>
        <w:t xml:space="preserve">V súlade s Opatrením Ministerstva financií Slovenskej republiky </w:t>
      </w:r>
      <w:r w:rsidR="00834E89" w:rsidRPr="006E3961">
        <w:rPr>
          <w:rFonts w:ascii="Times New Roman" w:hAnsi="Times New Roman" w:cs="Times New Roman"/>
          <w:bCs/>
          <w:sz w:val="24"/>
          <w:szCs w:val="24"/>
        </w:rPr>
        <w:br/>
      </w:r>
      <w:r w:rsidRPr="006E3961">
        <w:rPr>
          <w:rFonts w:ascii="Times New Roman" w:hAnsi="Times New Roman" w:cs="Times New Roman"/>
          <w:bCs/>
          <w:sz w:val="24"/>
          <w:szCs w:val="24"/>
        </w:rPr>
        <w:t>č. MF/010175/2004</w:t>
      </w:r>
      <w:r w:rsidR="0062149D" w:rsidRPr="006E3961">
        <w:rPr>
          <w:rFonts w:ascii="Times New Roman" w:hAnsi="Times New Roman" w:cs="Times New Roman"/>
          <w:bCs/>
          <w:sz w:val="24"/>
          <w:szCs w:val="24"/>
        </w:rPr>
        <w:t>-42 sú príjmy členené na daňové</w:t>
      </w:r>
      <w:r w:rsidRPr="006E3961">
        <w:rPr>
          <w:rFonts w:ascii="Times New Roman" w:hAnsi="Times New Roman" w:cs="Times New Roman"/>
          <w:bCs/>
          <w:sz w:val="24"/>
          <w:szCs w:val="24"/>
        </w:rPr>
        <w:t xml:space="preserve"> a nedaňové príjmy, granty a transfery (bežné a kapitálové granty a transfery). V nasledovnom prehľade je uvedený v príslušnom členení v porovnaní s rokom predchádzajúcim (v jeho navrhovanej a očakávanej výške) a dvoma rokmi nasledujúcimi v EUR:</w:t>
      </w:r>
    </w:p>
    <w:p w:rsidR="00A8609B" w:rsidRPr="006E3961" w:rsidRDefault="00A8609B" w:rsidP="00A8609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98"/>
        <w:tblW w:w="9214" w:type="dxa"/>
        <w:tblLayout w:type="fixed"/>
        <w:tblLook w:val="04A0" w:firstRow="1" w:lastRow="0" w:firstColumn="1" w:lastColumn="0" w:noHBand="0" w:noVBand="1"/>
      </w:tblPr>
      <w:tblGrid>
        <w:gridCol w:w="2235"/>
        <w:gridCol w:w="1451"/>
        <w:gridCol w:w="1475"/>
        <w:gridCol w:w="1324"/>
        <w:gridCol w:w="1325"/>
        <w:gridCol w:w="1404"/>
      </w:tblGrid>
      <w:tr w:rsidR="001B2920" w:rsidRPr="005A7319" w:rsidTr="009E12AD">
        <w:trPr>
          <w:trHeight w:val="789"/>
        </w:trPr>
        <w:tc>
          <w:tcPr>
            <w:tcW w:w="2235" w:type="dxa"/>
            <w:shd w:val="clear" w:color="auto" w:fill="auto"/>
            <w:vAlign w:val="center"/>
          </w:tcPr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Ukazovateľ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2920" w:rsidRPr="005A7319" w:rsidRDefault="001B2920" w:rsidP="0089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896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schválený rozpočet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B2920" w:rsidRPr="005A7319" w:rsidRDefault="001B2920" w:rsidP="0089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896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očakávaná skutočnosť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4702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67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návrh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202</w:t>
            </w:r>
            <w:r w:rsidR="00896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výhľad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202</w:t>
            </w:r>
            <w:r w:rsidR="008967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výhľad</w:t>
            </w:r>
          </w:p>
        </w:tc>
      </w:tr>
      <w:tr w:rsidR="001B2920" w:rsidRPr="005A7319" w:rsidTr="009E12AD">
        <w:trPr>
          <w:trHeight w:val="508"/>
        </w:trPr>
        <w:tc>
          <w:tcPr>
            <w:tcW w:w="2235" w:type="dxa"/>
            <w:shd w:val="clear" w:color="auto" w:fill="auto"/>
            <w:vAlign w:val="center"/>
          </w:tcPr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Bežné príjmy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2920" w:rsidRPr="005A7319" w:rsidRDefault="008967B3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E68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1E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B2920" w:rsidRPr="005A7319" w:rsidRDefault="008967B3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70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 w:rsidR="0047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B2920" w:rsidRPr="005A7319" w:rsidRDefault="004702E9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B2920" w:rsidRPr="00A45175" w:rsidRDefault="00A45175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51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  <w:r w:rsidRPr="00A4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B2920" w:rsidRPr="00A45175" w:rsidRDefault="00A45175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1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Pr="00A4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</w:tr>
      <w:tr w:rsidR="001B2920" w:rsidRPr="005A7319" w:rsidTr="009E12AD">
        <w:trPr>
          <w:trHeight w:val="511"/>
        </w:trPr>
        <w:tc>
          <w:tcPr>
            <w:tcW w:w="2235" w:type="dxa"/>
            <w:shd w:val="clear" w:color="auto" w:fill="auto"/>
            <w:vAlign w:val="center"/>
          </w:tcPr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Kapitálové príjmy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2920" w:rsidRPr="005A7319" w:rsidRDefault="001E68C3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B2920" w:rsidRPr="005A7319" w:rsidRDefault="004702E9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B2920" w:rsidRPr="005A7319" w:rsidRDefault="008967B3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1 287</w:t>
            </w:r>
            <w:r w:rsidR="0047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B2920" w:rsidRPr="00A45175" w:rsidRDefault="00A45175" w:rsidP="0062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175">
              <w:rPr>
                <w:rFonts w:ascii="Times New Roman" w:hAnsi="Times New Roman" w:cs="Times New Roman"/>
                <w:sz w:val="24"/>
                <w:szCs w:val="24"/>
              </w:rPr>
              <w:t>154 400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B2920" w:rsidRPr="00A45175" w:rsidRDefault="00A45175" w:rsidP="0062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175">
              <w:rPr>
                <w:rFonts w:ascii="Times New Roman" w:hAnsi="Times New Roman" w:cs="Times New Roman"/>
                <w:sz w:val="24"/>
                <w:szCs w:val="24"/>
              </w:rPr>
              <w:t>154 400</w:t>
            </w:r>
          </w:p>
        </w:tc>
      </w:tr>
      <w:tr w:rsidR="001B2920" w:rsidRPr="005A7319" w:rsidTr="009E12AD">
        <w:trPr>
          <w:trHeight w:val="282"/>
        </w:trPr>
        <w:tc>
          <w:tcPr>
            <w:tcW w:w="2235" w:type="dxa"/>
            <w:shd w:val="clear" w:color="auto" w:fill="auto"/>
            <w:vAlign w:val="center"/>
          </w:tcPr>
          <w:p w:rsidR="001B2920" w:rsidRPr="005A7319" w:rsidRDefault="001B2920" w:rsidP="0062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Príjmové finančné operácie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2920" w:rsidRPr="005A7319" w:rsidRDefault="001E68C3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967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B2920" w:rsidRPr="005A7319" w:rsidRDefault="008967B3" w:rsidP="008967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47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7208C" w:rsidRPr="005A7319" w:rsidRDefault="008967B3" w:rsidP="008967B3">
            <w:pPr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47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B2920" w:rsidRPr="005A7319" w:rsidRDefault="00B60713" w:rsidP="0062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B2920" w:rsidRPr="005A7319" w:rsidRDefault="00B60713" w:rsidP="0062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0743" w:rsidRPr="005A7319" w:rsidRDefault="001E0743" w:rsidP="0051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920" w:rsidRPr="005A7319" w:rsidRDefault="001B2920" w:rsidP="0051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Návrh rozpočtu príjmov na základe prehľadu je pre rozpočtový rok 20</w:t>
      </w:r>
      <w:r w:rsidR="001E68C3">
        <w:rPr>
          <w:rFonts w:ascii="Times New Roman" w:hAnsi="Times New Roman" w:cs="Times New Roman"/>
          <w:sz w:val="24"/>
          <w:szCs w:val="24"/>
        </w:rPr>
        <w:t>2</w:t>
      </w:r>
      <w:r w:rsidR="00DC16A5">
        <w:rPr>
          <w:rFonts w:ascii="Times New Roman" w:hAnsi="Times New Roman" w:cs="Times New Roman"/>
          <w:sz w:val="24"/>
          <w:szCs w:val="24"/>
        </w:rPr>
        <w:t>1</w:t>
      </w:r>
      <w:r w:rsidRPr="005A7319">
        <w:rPr>
          <w:rFonts w:ascii="Times New Roman" w:hAnsi="Times New Roman" w:cs="Times New Roman"/>
          <w:sz w:val="24"/>
          <w:szCs w:val="24"/>
        </w:rPr>
        <w:t xml:space="preserve"> v porovnaní s očakávanou skutočnosťou príjmovej časti rozpočtu </w:t>
      </w:r>
      <w:r w:rsidR="00F373EB" w:rsidRPr="005A7319">
        <w:rPr>
          <w:rFonts w:ascii="Times New Roman" w:hAnsi="Times New Roman" w:cs="Times New Roman"/>
          <w:sz w:val="24"/>
          <w:szCs w:val="24"/>
        </w:rPr>
        <w:t>za</w:t>
      </w:r>
      <w:r w:rsidR="0072164F" w:rsidRPr="005A7319">
        <w:rPr>
          <w:rFonts w:ascii="Times New Roman" w:hAnsi="Times New Roman" w:cs="Times New Roman"/>
          <w:sz w:val="24"/>
          <w:szCs w:val="24"/>
        </w:rPr>
        <w:t xml:space="preserve"> rok 20</w:t>
      </w:r>
      <w:r w:rsidR="00DC16A5">
        <w:rPr>
          <w:rFonts w:ascii="Times New Roman" w:hAnsi="Times New Roman" w:cs="Times New Roman"/>
          <w:sz w:val="24"/>
          <w:szCs w:val="24"/>
        </w:rPr>
        <w:t>20</w:t>
      </w:r>
      <w:r w:rsidR="0072164F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sz w:val="24"/>
          <w:szCs w:val="24"/>
        </w:rPr>
        <w:t>o</w:t>
      </w:r>
      <w:r w:rsidR="001E68C3">
        <w:rPr>
          <w:rFonts w:ascii="Times New Roman" w:hAnsi="Times New Roman" w:cs="Times New Roman"/>
          <w:sz w:val="24"/>
          <w:szCs w:val="24"/>
        </w:rPr>
        <w:t> </w:t>
      </w:r>
      <w:r w:rsidR="00DC16A5">
        <w:rPr>
          <w:rFonts w:ascii="Times New Roman" w:hAnsi="Times New Roman" w:cs="Times New Roman"/>
          <w:sz w:val="24"/>
          <w:szCs w:val="24"/>
        </w:rPr>
        <w:t>4</w:t>
      </w:r>
      <w:r w:rsidR="001E68C3">
        <w:rPr>
          <w:rFonts w:ascii="Times New Roman" w:hAnsi="Times New Roman" w:cs="Times New Roman"/>
          <w:sz w:val="24"/>
          <w:szCs w:val="24"/>
        </w:rPr>
        <w:t> </w:t>
      </w:r>
      <w:r w:rsidR="00DC16A5">
        <w:rPr>
          <w:rFonts w:ascii="Times New Roman" w:hAnsi="Times New Roman" w:cs="Times New Roman"/>
          <w:sz w:val="24"/>
          <w:szCs w:val="24"/>
        </w:rPr>
        <w:t>312</w:t>
      </w:r>
      <w:r w:rsidR="001E68C3">
        <w:rPr>
          <w:rFonts w:ascii="Times New Roman" w:hAnsi="Times New Roman" w:cs="Times New Roman"/>
          <w:sz w:val="24"/>
          <w:szCs w:val="24"/>
        </w:rPr>
        <w:t xml:space="preserve"> </w:t>
      </w:r>
      <w:r w:rsidR="00DC16A5">
        <w:rPr>
          <w:rFonts w:ascii="Times New Roman" w:hAnsi="Times New Roman" w:cs="Times New Roman"/>
          <w:sz w:val="24"/>
          <w:szCs w:val="24"/>
        </w:rPr>
        <w:t>550</w:t>
      </w:r>
      <w:r w:rsidR="007F4D67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sz w:val="24"/>
          <w:szCs w:val="24"/>
        </w:rPr>
        <w:t xml:space="preserve">EUR vyšší. Bežné príjmy, ako najobjemnejšia časť rozpočtu príjmov je rozpočtovaná vo výške </w:t>
      </w:r>
      <w:r w:rsidR="001E68C3">
        <w:rPr>
          <w:rFonts w:ascii="Times New Roman" w:hAnsi="Times New Roman" w:cs="Times New Roman"/>
          <w:sz w:val="24"/>
          <w:szCs w:val="24"/>
        </w:rPr>
        <w:br/>
        <w:t>4</w:t>
      </w:r>
      <w:r w:rsidR="00DC16A5">
        <w:rPr>
          <w:rFonts w:ascii="Times New Roman" w:hAnsi="Times New Roman" w:cs="Times New Roman"/>
          <w:sz w:val="24"/>
          <w:szCs w:val="24"/>
        </w:rPr>
        <w:t>4</w:t>
      </w:r>
      <w:r w:rsidR="001E68C3">
        <w:rPr>
          <w:rFonts w:ascii="Times New Roman" w:hAnsi="Times New Roman" w:cs="Times New Roman"/>
          <w:sz w:val="24"/>
          <w:szCs w:val="24"/>
        </w:rPr>
        <w:t> </w:t>
      </w:r>
      <w:r w:rsidR="00DC16A5">
        <w:rPr>
          <w:rFonts w:ascii="Times New Roman" w:hAnsi="Times New Roman" w:cs="Times New Roman"/>
          <w:sz w:val="24"/>
          <w:szCs w:val="24"/>
        </w:rPr>
        <w:t>839</w:t>
      </w:r>
      <w:r w:rsidR="001E68C3">
        <w:rPr>
          <w:rFonts w:ascii="Times New Roman" w:hAnsi="Times New Roman" w:cs="Times New Roman"/>
          <w:sz w:val="24"/>
          <w:szCs w:val="24"/>
        </w:rPr>
        <w:t xml:space="preserve"> </w:t>
      </w:r>
      <w:r w:rsidR="00DC16A5">
        <w:rPr>
          <w:rFonts w:ascii="Times New Roman" w:hAnsi="Times New Roman" w:cs="Times New Roman"/>
          <w:sz w:val="24"/>
          <w:szCs w:val="24"/>
        </w:rPr>
        <w:t>496</w:t>
      </w:r>
      <w:r w:rsidRPr="005A7319">
        <w:rPr>
          <w:rFonts w:ascii="Times New Roman" w:hAnsi="Times New Roman" w:cs="Times New Roman"/>
          <w:sz w:val="24"/>
          <w:szCs w:val="24"/>
        </w:rPr>
        <w:t xml:space="preserve"> EUR. Pre rok 20</w:t>
      </w:r>
      <w:r w:rsidR="001E68C3">
        <w:rPr>
          <w:rFonts w:ascii="Times New Roman" w:hAnsi="Times New Roman" w:cs="Times New Roman"/>
          <w:sz w:val="24"/>
          <w:szCs w:val="24"/>
        </w:rPr>
        <w:t>2</w:t>
      </w:r>
      <w:r w:rsidR="00E7029A">
        <w:rPr>
          <w:rFonts w:ascii="Times New Roman" w:hAnsi="Times New Roman" w:cs="Times New Roman"/>
          <w:sz w:val="24"/>
          <w:szCs w:val="24"/>
        </w:rPr>
        <w:t>1</w:t>
      </w:r>
      <w:r w:rsidRPr="005A7319">
        <w:rPr>
          <w:rFonts w:ascii="Times New Roman" w:hAnsi="Times New Roman" w:cs="Times New Roman"/>
          <w:sz w:val="24"/>
          <w:szCs w:val="24"/>
        </w:rPr>
        <w:t xml:space="preserve"> je bežný rozpočet koncipovaný ako prebytkový. Rozpočtovanie bežných príjmov pre rok 20</w:t>
      </w:r>
      <w:r w:rsidR="001E68C3">
        <w:rPr>
          <w:rFonts w:ascii="Times New Roman" w:hAnsi="Times New Roman" w:cs="Times New Roman"/>
          <w:sz w:val="24"/>
          <w:szCs w:val="24"/>
        </w:rPr>
        <w:t>2</w:t>
      </w:r>
      <w:r w:rsidR="00E7029A">
        <w:rPr>
          <w:rFonts w:ascii="Times New Roman" w:hAnsi="Times New Roman" w:cs="Times New Roman"/>
          <w:sz w:val="24"/>
          <w:szCs w:val="24"/>
        </w:rPr>
        <w:t>1</w:t>
      </w:r>
      <w:r w:rsidRPr="005A7319">
        <w:rPr>
          <w:rFonts w:ascii="Times New Roman" w:hAnsi="Times New Roman" w:cs="Times New Roman"/>
          <w:sz w:val="24"/>
          <w:szCs w:val="24"/>
        </w:rPr>
        <w:t xml:space="preserve"> je vyššie o</w:t>
      </w:r>
      <w:r w:rsidR="001E68C3">
        <w:rPr>
          <w:rFonts w:ascii="Times New Roman" w:hAnsi="Times New Roman" w:cs="Times New Roman"/>
          <w:sz w:val="24"/>
          <w:szCs w:val="24"/>
        </w:rPr>
        <w:t> </w:t>
      </w:r>
      <w:r w:rsidR="00E7029A">
        <w:rPr>
          <w:rFonts w:ascii="Times New Roman" w:hAnsi="Times New Roman" w:cs="Times New Roman"/>
          <w:sz w:val="24"/>
          <w:szCs w:val="24"/>
        </w:rPr>
        <w:t>1</w:t>
      </w:r>
      <w:r w:rsidR="001E68C3">
        <w:rPr>
          <w:rFonts w:ascii="Times New Roman" w:hAnsi="Times New Roman" w:cs="Times New Roman"/>
          <w:sz w:val="24"/>
          <w:szCs w:val="24"/>
        </w:rPr>
        <w:t> </w:t>
      </w:r>
      <w:r w:rsidR="00E7029A">
        <w:rPr>
          <w:rFonts w:ascii="Times New Roman" w:hAnsi="Times New Roman" w:cs="Times New Roman"/>
          <w:sz w:val="24"/>
          <w:szCs w:val="24"/>
        </w:rPr>
        <w:t>786</w:t>
      </w:r>
      <w:r w:rsidR="001E68C3">
        <w:rPr>
          <w:rFonts w:ascii="Times New Roman" w:hAnsi="Times New Roman" w:cs="Times New Roman"/>
          <w:sz w:val="24"/>
          <w:szCs w:val="24"/>
        </w:rPr>
        <w:t xml:space="preserve"> </w:t>
      </w:r>
      <w:r w:rsidR="00E7029A">
        <w:rPr>
          <w:rFonts w:ascii="Times New Roman" w:hAnsi="Times New Roman" w:cs="Times New Roman"/>
          <w:sz w:val="24"/>
          <w:szCs w:val="24"/>
        </w:rPr>
        <w:t>001</w:t>
      </w:r>
      <w:r w:rsidRPr="005A7319">
        <w:rPr>
          <w:rFonts w:ascii="Times New Roman" w:hAnsi="Times New Roman" w:cs="Times New Roman"/>
          <w:sz w:val="24"/>
          <w:szCs w:val="24"/>
        </w:rPr>
        <w:t xml:space="preserve"> EUR v porovnaní s očakávanou skutočnou výškou bežných príjmov za rok 20</w:t>
      </w:r>
      <w:r w:rsidR="00E7029A">
        <w:rPr>
          <w:rFonts w:ascii="Times New Roman" w:hAnsi="Times New Roman" w:cs="Times New Roman"/>
          <w:sz w:val="24"/>
          <w:szCs w:val="24"/>
        </w:rPr>
        <w:t>20</w:t>
      </w:r>
      <w:r w:rsidRPr="005A73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2BE" w:rsidRPr="0023040D" w:rsidRDefault="000162BE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64C" w:rsidRPr="0023040D" w:rsidRDefault="008B70DC" w:rsidP="002A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40D">
        <w:rPr>
          <w:rFonts w:ascii="Times New Roman" w:hAnsi="Times New Roman" w:cs="Times New Roman"/>
          <w:sz w:val="24"/>
          <w:szCs w:val="24"/>
        </w:rPr>
        <w:t>Bežné príjmy sú tvorené z daňových príjmov, nedaňových príjmov, grantov a transferov. Práve daňové príjmy tvoria najväčší podiel</w:t>
      </w:r>
      <w:r w:rsidR="00366261" w:rsidRPr="0023040D">
        <w:rPr>
          <w:rFonts w:ascii="Times New Roman" w:hAnsi="Times New Roman" w:cs="Times New Roman"/>
          <w:sz w:val="24"/>
          <w:szCs w:val="24"/>
        </w:rPr>
        <w:t xml:space="preserve"> na bežných príjmoch</w:t>
      </w:r>
      <w:r w:rsidR="00F373EB" w:rsidRPr="0023040D">
        <w:rPr>
          <w:rFonts w:ascii="Times New Roman" w:hAnsi="Times New Roman" w:cs="Times New Roman"/>
          <w:sz w:val="24"/>
          <w:szCs w:val="24"/>
        </w:rPr>
        <w:t xml:space="preserve"> (</w:t>
      </w:r>
      <w:r w:rsidR="00E7029A" w:rsidRPr="0023040D">
        <w:rPr>
          <w:rFonts w:ascii="Times New Roman" w:hAnsi="Times New Roman" w:cs="Times New Roman"/>
          <w:sz w:val="24"/>
          <w:szCs w:val="24"/>
        </w:rPr>
        <w:t>56</w:t>
      </w:r>
      <w:r w:rsidR="00F373EB" w:rsidRPr="0023040D">
        <w:rPr>
          <w:rFonts w:ascii="Times New Roman" w:hAnsi="Times New Roman" w:cs="Times New Roman"/>
          <w:sz w:val="24"/>
          <w:szCs w:val="24"/>
        </w:rPr>
        <w:t xml:space="preserve"> %). </w:t>
      </w:r>
      <w:r w:rsidR="00615E86" w:rsidRPr="0023040D">
        <w:rPr>
          <w:rFonts w:ascii="Times New Roman" w:hAnsi="Times New Roman" w:cs="Times New Roman"/>
          <w:sz w:val="24"/>
          <w:szCs w:val="24"/>
        </w:rPr>
        <w:t>Daňové príjmy sú tvorené najmä z podielu na výnose dane z príjmov fyzických osôb</w:t>
      </w:r>
      <w:r w:rsidR="00DB2914" w:rsidRPr="0023040D">
        <w:rPr>
          <w:rFonts w:ascii="Times New Roman" w:hAnsi="Times New Roman" w:cs="Times New Roman"/>
          <w:sz w:val="24"/>
          <w:szCs w:val="24"/>
        </w:rPr>
        <w:t xml:space="preserve">, ktorých </w:t>
      </w:r>
      <w:r w:rsidR="00E7029A" w:rsidRPr="0023040D">
        <w:rPr>
          <w:rFonts w:ascii="Times New Roman" w:hAnsi="Times New Roman" w:cs="Times New Roman"/>
          <w:sz w:val="24"/>
          <w:szCs w:val="24"/>
        </w:rPr>
        <w:t xml:space="preserve"> </w:t>
      </w:r>
      <w:r w:rsidR="00DB2914" w:rsidRPr="0023040D">
        <w:rPr>
          <w:rFonts w:ascii="Times New Roman" w:hAnsi="Times New Roman" w:cs="Times New Roman"/>
          <w:sz w:val="24"/>
          <w:szCs w:val="24"/>
        </w:rPr>
        <w:t xml:space="preserve">zvýšenie sa očakáva </w:t>
      </w:r>
      <w:r w:rsidR="00E7029A" w:rsidRPr="0023040D">
        <w:rPr>
          <w:rFonts w:ascii="Times New Roman" w:hAnsi="Times New Roman" w:cs="Times New Roman"/>
          <w:sz w:val="24"/>
          <w:szCs w:val="24"/>
        </w:rPr>
        <w:t>o 227 771 EUR</w:t>
      </w:r>
      <w:r w:rsidR="00615E86" w:rsidRPr="0023040D">
        <w:rPr>
          <w:rFonts w:ascii="Times New Roman" w:hAnsi="Times New Roman" w:cs="Times New Roman"/>
          <w:sz w:val="24"/>
          <w:szCs w:val="24"/>
        </w:rPr>
        <w:t xml:space="preserve">. </w:t>
      </w:r>
      <w:r w:rsidR="003D651F" w:rsidRPr="0023040D">
        <w:rPr>
          <w:rFonts w:ascii="Times New Roman" w:hAnsi="Times New Roman" w:cs="Times New Roman"/>
          <w:sz w:val="24"/>
          <w:szCs w:val="24"/>
        </w:rPr>
        <w:t>Zvýšenie výnosu dane z príjmov fyzických osôb v daňových príjmoch je v súlade s prognózou Inštitútu finančnej politiky a s návrhom zákona o štátnom rozpočte na rok 202</w:t>
      </w:r>
      <w:r w:rsidR="00E7029A" w:rsidRPr="0023040D">
        <w:rPr>
          <w:rFonts w:ascii="Times New Roman" w:hAnsi="Times New Roman" w:cs="Times New Roman"/>
          <w:sz w:val="24"/>
          <w:szCs w:val="24"/>
        </w:rPr>
        <w:t>1</w:t>
      </w:r>
      <w:r w:rsidR="00A60D89" w:rsidRPr="0023040D">
        <w:rPr>
          <w:rFonts w:ascii="Times New Roman" w:hAnsi="Times New Roman" w:cs="Times New Roman"/>
          <w:sz w:val="24"/>
          <w:szCs w:val="24"/>
        </w:rPr>
        <w:t xml:space="preserve">. </w:t>
      </w:r>
      <w:r w:rsidR="00753CFB" w:rsidRPr="0023040D">
        <w:rPr>
          <w:rFonts w:ascii="Times New Roman" w:hAnsi="Times New Roman" w:cs="Times New Roman"/>
          <w:sz w:val="24"/>
          <w:szCs w:val="24"/>
        </w:rPr>
        <w:t>Mest</w:t>
      </w:r>
      <w:r w:rsidR="00F373EB" w:rsidRPr="0023040D">
        <w:rPr>
          <w:rFonts w:ascii="Times New Roman" w:hAnsi="Times New Roman" w:cs="Times New Roman"/>
          <w:sz w:val="24"/>
          <w:szCs w:val="24"/>
        </w:rPr>
        <w:t>ská časť v rozpočtovom roku 20</w:t>
      </w:r>
      <w:r w:rsidR="003D651F" w:rsidRPr="0023040D">
        <w:rPr>
          <w:rFonts w:ascii="Times New Roman" w:hAnsi="Times New Roman" w:cs="Times New Roman"/>
          <w:sz w:val="24"/>
          <w:szCs w:val="24"/>
        </w:rPr>
        <w:t>2</w:t>
      </w:r>
      <w:r w:rsidR="00E7029A" w:rsidRPr="0023040D">
        <w:rPr>
          <w:rFonts w:ascii="Times New Roman" w:hAnsi="Times New Roman" w:cs="Times New Roman"/>
          <w:sz w:val="24"/>
          <w:szCs w:val="24"/>
        </w:rPr>
        <w:t>1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 </w:t>
      </w:r>
      <w:r w:rsidR="005935C7" w:rsidRPr="0023040D">
        <w:rPr>
          <w:rFonts w:ascii="Times New Roman" w:hAnsi="Times New Roman" w:cs="Times New Roman"/>
          <w:sz w:val="24"/>
          <w:szCs w:val="24"/>
        </w:rPr>
        <w:t>počíta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 s</w:t>
      </w:r>
      <w:r w:rsidR="00E7029A" w:rsidRPr="0023040D">
        <w:rPr>
          <w:rFonts w:ascii="Times New Roman" w:hAnsi="Times New Roman" w:cs="Times New Roman"/>
          <w:sz w:val="24"/>
          <w:szCs w:val="24"/>
        </w:rPr>
        <w:t> nárastom výnosu na dani z nehnuteľnosti  o 1 mil EUR.</w:t>
      </w:r>
      <w:r w:rsidR="00206365" w:rsidRPr="0023040D">
        <w:rPr>
          <w:rFonts w:ascii="Times New Roman" w:hAnsi="Times New Roman" w:cs="Times New Roman"/>
          <w:sz w:val="24"/>
          <w:szCs w:val="24"/>
        </w:rPr>
        <w:t xml:space="preserve"> P</w:t>
      </w:r>
      <w:r w:rsidR="00753CFB" w:rsidRPr="0023040D">
        <w:rPr>
          <w:rFonts w:ascii="Times New Roman" w:hAnsi="Times New Roman" w:cs="Times New Roman"/>
          <w:sz w:val="24"/>
          <w:szCs w:val="24"/>
        </w:rPr>
        <w:t>ríjm</w:t>
      </w:r>
      <w:r w:rsidR="00206365" w:rsidRPr="0023040D">
        <w:rPr>
          <w:rFonts w:ascii="Times New Roman" w:hAnsi="Times New Roman" w:cs="Times New Roman"/>
          <w:sz w:val="24"/>
          <w:szCs w:val="24"/>
        </w:rPr>
        <w:t>y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 z miestnych daní </w:t>
      </w:r>
      <w:r w:rsidR="00206365" w:rsidRPr="0023040D">
        <w:rPr>
          <w:rFonts w:ascii="Times New Roman" w:hAnsi="Times New Roman" w:cs="Times New Roman"/>
          <w:sz w:val="24"/>
          <w:szCs w:val="24"/>
        </w:rPr>
        <w:t xml:space="preserve">sú rozpočtované 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celkom vo výške </w:t>
      </w:r>
      <w:r w:rsidR="00206365" w:rsidRPr="0023040D">
        <w:rPr>
          <w:rFonts w:ascii="Times New Roman" w:hAnsi="Times New Roman" w:cs="Times New Roman"/>
          <w:sz w:val="24"/>
          <w:szCs w:val="24"/>
        </w:rPr>
        <w:t>711</w:t>
      </w:r>
      <w:r w:rsidR="00D33F91" w:rsidRPr="0023040D">
        <w:rPr>
          <w:rFonts w:ascii="Times New Roman" w:hAnsi="Times New Roman" w:cs="Times New Roman"/>
          <w:sz w:val="24"/>
          <w:szCs w:val="24"/>
        </w:rPr>
        <w:t xml:space="preserve"> 000 </w:t>
      </w:r>
      <w:r w:rsidR="00615E86" w:rsidRPr="0023040D">
        <w:rPr>
          <w:rFonts w:ascii="Times New Roman" w:hAnsi="Times New Roman" w:cs="Times New Roman"/>
          <w:sz w:val="24"/>
          <w:szCs w:val="24"/>
        </w:rPr>
        <w:t>EUR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 (na základe všeobecne </w:t>
      </w:r>
      <w:r w:rsidR="00ED72D2" w:rsidRPr="0023040D">
        <w:rPr>
          <w:rFonts w:ascii="Times New Roman" w:hAnsi="Times New Roman" w:cs="Times New Roman"/>
          <w:sz w:val="24"/>
          <w:szCs w:val="24"/>
        </w:rPr>
        <w:t>záväzného nariadenia mestskej časti, ktoré sa týka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 oblasti daní za psa, daní za užívanie verejného priestranstva, daní za nevýherné a predajné hracie automaty)</w:t>
      </w:r>
      <w:r w:rsidR="00206365" w:rsidRPr="0023040D">
        <w:rPr>
          <w:rFonts w:ascii="Times New Roman" w:hAnsi="Times New Roman" w:cs="Times New Roman"/>
          <w:sz w:val="24"/>
          <w:szCs w:val="24"/>
        </w:rPr>
        <w:t>.</w:t>
      </w:r>
      <w:r w:rsidR="00615E86" w:rsidRPr="0023040D">
        <w:rPr>
          <w:rFonts w:ascii="Times New Roman" w:hAnsi="Times New Roman" w:cs="Times New Roman"/>
          <w:sz w:val="24"/>
          <w:szCs w:val="24"/>
        </w:rPr>
        <w:t xml:space="preserve"> </w:t>
      </w:r>
      <w:r w:rsidR="005F65DA" w:rsidRPr="0023040D">
        <w:rPr>
          <w:rFonts w:ascii="Times New Roman" w:hAnsi="Times New Roman" w:cs="Times New Roman"/>
          <w:sz w:val="24"/>
          <w:szCs w:val="24"/>
        </w:rPr>
        <w:t>V návrhu rozpočtu</w:t>
      </w:r>
      <w:r w:rsidR="00EB0535" w:rsidRPr="0023040D">
        <w:rPr>
          <w:rFonts w:ascii="Times New Roman" w:hAnsi="Times New Roman" w:cs="Times New Roman"/>
          <w:sz w:val="24"/>
          <w:szCs w:val="24"/>
        </w:rPr>
        <w:t>, rovnako ako v roku 2020,</w:t>
      </w:r>
      <w:r w:rsidR="005F65DA" w:rsidRPr="0023040D">
        <w:rPr>
          <w:rFonts w:ascii="Times New Roman" w:hAnsi="Times New Roman" w:cs="Times New Roman"/>
          <w:sz w:val="24"/>
          <w:szCs w:val="24"/>
        </w:rPr>
        <w:t xml:space="preserve"> chýba zapojenie výberu dane – poplatok za rozvoj z predchádzajúcich období, ako aj predpokladaná suma výberu uvedenej dane v roku 202</w:t>
      </w:r>
      <w:r w:rsidR="00206365" w:rsidRPr="0023040D">
        <w:rPr>
          <w:rFonts w:ascii="Times New Roman" w:hAnsi="Times New Roman" w:cs="Times New Roman"/>
          <w:sz w:val="24"/>
          <w:szCs w:val="24"/>
        </w:rPr>
        <w:t>1</w:t>
      </w:r>
      <w:r w:rsidR="005F65DA" w:rsidRPr="0023040D">
        <w:rPr>
          <w:rFonts w:ascii="Times New Roman" w:hAnsi="Times New Roman" w:cs="Times New Roman"/>
          <w:sz w:val="24"/>
          <w:szCs w:val="24"/>
        </w:rPr>
        <w:t>.</w:t>
      </w:r>
    </w:p>
    <w:p w:rsidR="001148D7" w:rsidRPr="005A7319" w:rsidRDefault="001148D7" w:rsidP="006265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0A19" w:rsidRPr="005A7319" w:rsidRDefault="008B70DC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 xml:space="preserve">     </w:t>
      </w:r>
      <w:r w:rsidR="001148D7" w:rsidRPr="005A7319">
        <w:rPr>
          <w:rFonts w:ascii="Times New Roman" w:hAnsi="Times New Roman" w:cs="Times New Roman"/>
          <w:sz w:val="24"/>
          <w:szCs w:val="24"/>
        </w:rPr>
        <w:tab/>
      </w:r>
      <w:r w:rsidRPr="005A7319">
        <w:rPr>
          <w:rFonts w:ascii="Times New Roman" w:hAnsi="Times New Roman" w:cs="Times New Roman"/>
          <w:sz w:val="24"/>
          <w:szCs w:val="24"/>
        </w:rPr>
        <w:t>Nedaňové príjmy pre rozpočtový rok 20</w:t>
      </w:r>
      <w:r w:rsidR="00DA4DE4">
        <w:rPr>
          <w:rFonts w:ascii="Times New Roman" w:hAnsi="Times New Roman" w:cs="Times New Roman"/>
          <w:sz w:val="24"/>
          <w:szCs w:val="24"/>
        </w:rPr>
        <w:t>2</w:t>
      </w:r>
      <w:r w:rsidR="00206365">
        <w:rPr>
          <w:rFonts w:ascii="Times New Roman" w:hAnsi="Times New Roman" w:cs="Times New Roman"/>
          <w:sz w:val="24"/>
          <w:szCs w:val="24"/>
        </w:rPr>
        <w:t>1</w:t>
      </w:r>
      <w:r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A242C0" w:rsidRPr="005A7319">
        <w:rPr>
          <w:rFonts w:ascii="Times New Roman" w:hAnsi="Times New Roman" w:cs="Times New Roman"/>
          <w:sz w:val="24"/>
          <w:szCs w:val="24"/>
        </w:rPr>
        <w:t>sú</w:t>
      </w:r>
      <w:r w:rsidRPr="005A7319">
        <w:rPr>
          <w:rFonts w:ascii="Times New Roman" w:hAnsi="Times New Roman" w:cs="Times New Roman"/>
          <w:sz w:val="24"/>
          <w:szCs w:val="24"/>
        </w:rPr>
        <w:t xml:space="preserve"> príjmy z prenájmu pozemkov, prenáj</w:t>
      </w:r>
      <w:r w:rsidR="00BC281E" w:rsidRPr="005A7319">
        <w:rPr>
          <w:rFonts w:ascii="Times New Roman" w:hAnsi="Times New Roman" w:cs="Times New Roman"/>
          <w:sz w:val="24"/>
          <w:szCs w:val="24"/>
        </w:rPr>
        <w:t>mu</w:t>
      </w:r>
      <w:r w:rsidRPr="005A7319">
        <w:rPr>
          <w:rFonts w:ascii="Times New Roman" w:hAnsi="Times New Roman" w:cs="Times New Roman"/>
          <w:sz w:val="24"/>
          <w:szCs w:val="24"/>
        </w:rPr>
        <w:t xml:space="preserve"> majetku </w:t>
      </w:r>
      <w:r w:rsidR="00453BB9" w:rsidRPr="005A7319">
        <w:rPr>
          <w:rFonts w:ascii="Times New Roman" w:hAnsi="Times New Roman" w:cs="Times New Roman"/>
          <w:sz w:val="24"/>
          <w:szCs w:val="24"/>
        </w:rPr>
        <w:t>spoločnosti Veolia Energia Slovensko,</w:t>
      </w:r>
      <w:r w:rsidRPr="005A7319">
        <w:rPr>
          <w:rFonts w:ascii="Times New Roman" w:hAnsi="Times New Roman" w:cs="Times New Roman"/>
          <w:sz w:val="24"/>
          <w:szCs w:val="24"/>
        </w:rPr>
        <w:t xml:space="preserve"> z prenájmu budov a objektov nebytových priestorov</w:t>
      </w:r>
      <w:r w:rsidR="00453BB9" w:rsidRPr="005A7319">
        <w:rPr>
          <w:rFonts w:ascii="Times New Roman" w:hAnsi="Times New Roman" w:cs="Times New Roman"/>
          <w:sz w:val="24"/>
          <w:szCs w:val="24"/>
        </w:rPr>
        <w:t>, garáží, objektov, bytov</w:t>
      </w:r>
      <w:r w:rsidRPr="005A7319">
        <w:rPr>
          <w:rFonts w:ascii="Times New Roman" w:hAnsi="Times New Roman" w:cs="Times New Roman"/>
          <w:sz w:val="24"/>
          <w:szCs w:val="24"/>
        </w:rPr>
        <w:t xml:space="preserve"> a ostatn</w:t>
      </w:r>
      <w:r w:rsidR="00BC281E" w:rsidRPr="005A7319">
        <w:rPr>
          <w:rFonts w:ascii="Times New Roman" w:hAnsi="Times New Roman" w:cs="Times New Roman"/>
          <w:sz w:val="24"/>
          <w:szCs w:val="24"/>
        </w:rPr>
        <w:t>é</w:t>
      </w:r>
      <w:r w:rsidRPr="005A7319">
        <w:rPr>
          <w:rFonts w:ascii="Times New Roman" w:hAnsi="Times New Roman" w:cs="Times New Roman"/>
          <w:sz w:val="24"/>
          <w:szCs w:val="24"/>
        </w:rPr>
        <w:t xml:space="preserve"> príjm</w:t>
      </w:r>
      <w:r w:rsidR="00BC281E" w:rsidRPr="005A7319">
        <w:rPr>
          <w:rFonts w:ascii="Times New Roman" w:hAnsi="Times New Roman" w:cs="Times New Roman"/>
          <w:sz w:val="24"/>
          <w:szCs w:val="24"/>
        </w:rPr>
        <w:t>y, najmä administratívne poplatky</w:t>
      </w:r>
      <w:r w:rsidRPr="005A7319">
        <w:rPr>
          <w:rFonts w:ascii="Times New Roman" w:hAnsi="Times New Roman" w:cs="Times New Roman"/>
          <w:sz w:val="24"/>
          <w:szCs w:val="24"/>
        </w:rPr>
        <w:t xml:space="preserve">. Samotné rozpočtovanie nedaňových príjmov </w:t>
      </w:r>
      <w:r w:rsidR="00453BB9" w:rsidRPr="005A7319">
        <w:rPr>
          <w:rFonts w:ascii="Times New Roman" w:hAnsi="Times New Roman" w:cs="Times New Roman"/>
          <w:sz w:val="24"/>
          <w:szCs w:val="24"/>
        </w:rPr>
        <w:t>pre rok 20</w:t>
      </w:r>
      <w:r w:rsidR="00211360">
        <w:rPr>
          <w:rFonts w:ascii="Times New Roman" w:hAnsi="Times New Roman" w:cs="Times New Roman"/>
          <w:sz w:val="24"/>
          <w:szCs w:val="24"/>
        </w:rPr>
        <w:t>2</w:t>
      </w:r>
      <w:r w:rsidR="00206365">
        <w:rPr>
          <w:rFonts w:ascii="Times New Roman" w:hAnsi="Times New Roman" w:cs="Times New Roman"/>
          <w:sz w:val="24"/>
          <w:szCs w:val="24"/>
        </w:rPr>
        <w:t>1</w:t>
      </w:r>
      <w:r w:rsidR="00453BB9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sz w:val="24"/>
          <w:szCs w:val="24"/>
        </w:rPr>
        <w:t>je v</w:t>
      </w:r>
      <w:r w:rsidR="00206365">
        <w:rPr>
          <w:rFonts w:ascii="Times New Roman" w:hAnsi="Times New Roman" w:cs="Times New Roman"/>
          <w:sz w:val="24"/>
          <w:szCs w:val="24"/>
        </w:rPr>
        <w:t xml:space="preserve">o výške </w:t>
      </w:r>
      <w:r w:rsidR="00694618">
        <w:rPr>
          <w:rFonts w:ascii="Times New Roman" w:hAnsi="Times New Roman" w:cs="Times New Roman"/>
          <w:sz w:val="24"/>
          <w:szCs w:val="24"/>
        </w:rPr>
        <w:t>4</w:t>
      </w:r>
      <w:r w:rsidR="00206365">
        <w:rPr>
          <w:rFonts w:ascii="Times New Roman" w:hAnsi="Times New Roman" w:cs="Times New Roman"/>
          <w:sz w:val="24"/>
          <w:szCs w:val="24"/>
        </w:rPr>
        <w:t> </w:t>
      </w:r>
      <w:r w:rsidR="00694618">
        <w:rPr>
          <w:rFonts w:ascii="Times New Roman" w:hAnsi="Times New Roman" w:cs="Times New Roman"/>
          <w:sz w:val="24"/>
          <w:szCs w:val="24"/>
        </w:rPr>
        <w:t>856</w:t>
      </w:r>
      <w:r w:rsidR="006A60BD">
        <w:rPr>
          <w:rFonts w:ascii="Times New Roman" w:hAnsi="Times New Roman" w:cs="Times New Roman"/>
          <w:sz w:val="24"/>
          <w:szCs w:val="24"/>
        </w:rPr>
        <w:t> </w:t>
      </w:r>
      <w:r w:rsidR="00694618">
        <w:rPr>
          <w:rFonts w:ascii="Times New Roman" w:hAnsi="Times New Roman" w:cs="Times New Roman"/>
          <w:sz w:val="24"/>
          <w:szCs w:val="24"/>
        </w:rPr>
        <w:t>443</w:t>
      </w:r>
      <w:r w:rsidR="006A60BD">
        <w:rPr>
          <w:rFonts w:ascii="Times New Roman" w:hAnsi="Times New Roman" w:cs="Times New Roman"/>
          <w:sz w:val="24"/>
          <w:szCs w:val="24"/>
        </w:rPr>
        <w:t xml:space="preserve"> EUR.</w:t>
      </w:r>
      <w:r w:rsidRPr="005A7319">
        <w:rPr>
          <w:rFonts w:ascii="Times New Roman" w:hAnsi="Times New Roman" w:cs="Times New Roman"/>
          <w:sz w:val="24"/>
          <w:szCs w:val="24"/>
        </w:rPr>
        <w:t> 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3F1374">
        <w:rPr>
          <w:rFonts w:ascii="Times New Roman" w:hAnsi="Times New Roman" w:cs="Times New Roman"/>
          <w:sz w:val="24"/>
          <w:szCs w:val="24"/>
        </w:rPr>
        <w:t xml:space="preserve">Navrhnuté navýšenie </w:t>
      </w:r>
      <w:r w:rsidR="006A60BD">
        <w:rPr>
          <w:rFonts w:ascii="Times New Roman" w:hAnsi="Times New Roman" w:cs="Times New Roman"/>
          <w:sz w:val="24"/>
          <w:szCs w:val="24"/>
        </w:rPr>
        <w:t>je v položke administratívne poplatky, kde nárast je spôsobený nárastom príjmov z parkovacej politiky.</w:t>
      </w:r>
    </w:p>
    <w:p w:rsidR="0081630E" w:rsidRPr="005A7319" w:rsidRDefault="0081630E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F5" w:rsidRPr="005A7319" w:rsidRDefault="007618FA" w:rsidP="0062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z g</w:t>
      </w:r>
      <w:r w:rsidR="00FE0696" w:rsidRPr="005A7319">
        <w:rPr>
          <w:rFonts w:ascii="Times New Roman" w:hAnsi="Times New Roman" w:cs="Times New Roman"/>
          <w:sz w:val="24"/>
          <w:szCs w:val="24"/>
        </w:rPr>
        <w:t>rant</w:t>
      </w:r>
      <w:r>
        <w:rPr>
          <w:rFonts w:ascii="Times New Roman" w:hAnsi="Times New Roman" w:cs="Times New Roman"/>
          <w:sz w:val="24"/>
          <w:szCs w:val="24"/>
        </w:rPr>
        <w:t>ov</w:t>
      </w:r>
      <w:r w:rsidR="00FE0696" w:rsidRPr="005A7319">
        <w:rPr>
          <w:rFonts w:ascii="Times New Roman" w:hAnsi="Times New Roman" w:cs="Times New Roman"/>
          <w:sz w:val="24"/>
          <w:szCs w:val="24"/>
        </w:rPr>
        <w:t xml:space="preserve"> a transfer</w:t>
      </w:r>
      <w:r>
        <w:rPr>
          <w:rFonts w:ascii="Times New Roman" w:hAnsi="Times New Roman" w:cs="Times New Roman"/>
          <w:sz w:val="24"/>
          <w:szCs w:val="24"/>
        </w:rPr>
        <w:t>ov</w:t>
      </w:r>
      <w:r w:rsidR="00FE0696" w:rsidRPr="005A7319">
        <w:rPr>
          <w:rFonts w:ascii="Times New Roman" w:hAnsi="Times New Roman" w:cs="Times New Roman"/>
          <w:sz w:val="24"/>
          <w:szCs w:val="24"/>
        </w:rPr>
        <w:t xml:space="preserve"> sú rozpočtované vo výške </w:t>
      </w:r>
      <w:r w:rsidR="008313E4">
        <w:rPr>
          <w:rFonts w:ascii="Times New Roman" w:hAnsi="Times New Roman" w:cs="Times New Roman"/>
          <w:bCs/>
          <w:sz w:val="24"/>
          <w:szCs w:val="24"/>
        </w:rPr>
        <w:t>1</w:t>
      </w:r>
      <w:r w:rsidR="00085619">
        <w:rPr>
          <w:rFonts w:ascii="Times New Roman" w:hAnsi="Times New Roman" w:cs="Times New Roman"/>
          <w:bCs/>
          <w:sz w:val="24"/>
          <w:szCs w:val="24"/>
        </w:rPr>
        <w:t>2</w:t>
      </w:r>
      <w:r w:rsidR="008313E4">
        <w:rPr>
          <w:rFonts w:ascii="Times New Roman" w:hAnsi="Times New Roman" w:cs="Times New Roman"/>
          <w:bCs/>
          <w:sz w:val="24"/>
          <w:szCs w:val="24"/>
        </w:rPr>
        <w:t> </w:t>
      </w:r>
      <w:r w:rsidR="00085619">
        <w:rPr>
          <w:rFonts w:ascii="Times New Roman" w:hAnsi="Times New Roman" w:cs="Times New Roman"/>
          <w:bCs/>
          <w:sz w:val="24"/>
          <w:szCs w:val="24"/>
        </w:rPr>
        <w:t>808</w:t>
      </w:r>
      <w:r w:rsidR="008313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619">
        <w:rPr>
          <w:rFonts w:ascii="Times New Roman" w:hAnsi="Times New Roman" w:cs="Times New Roman"/>
          <w:bCs/>
          <w:sz w:val="24"/>
          <w:szCs w:val="24"/>
        </w:rPr>
        <w:t>508</w:t>
      </w:r>
      <w:r w:rsidR="00306D9E" w:rsidRPr="005A7319">
        <w:rPr>
          <w:rFonts w:ascii="Times New Roman" w:hAnsi="Times New Roman" w:cs="Times New Roman"/>
          <w:sz w:val="24"/>
          <w:szCs w:val="24"/>
        </w:rPr>
        <w:t xml:space="preserve"> EUR</w:t>
      </w:r>
      <w:r w:rsidR="008313E4">
        <w:rPr>
          <w:rFonts w:ascii="Times New Roman" w:hAnsi="Times New Roman" w:cs="Times New Roman"/>
          <w:sz w:val="24"/>
          <w:szCs w:val="24"/>
        </w:rPr>
        <w:t>, jedná sa o dotácie zo štátneho rozpočtu</w:t>
      </w:r>
      <w:r w:rsidR="00306D9E" w:rsidRPr="005A7319">
        <w:rPr>
          <w:rFonts w:ascii="Times New Roman" w:hAnsi="Times New Roman" w:cs="Times New Roman"/>
          <w:sz w:val="24"/>
          <w:szCs w:val="24"/>
        </w:rPr>
        <w:t xml:space="preserve"> na prenesen</w:t>
      </w:r>
      <w:r w:rsidR="008313E4">
        <w:rPr>
          <w:rFonts w:ascii="Times New Roman" w:hAnsi="Times New Roman" w:cs="Times New Roman"/>
          <w:sz w:val="24"/>
          <w:szCs w:val="24"/>
        </w:rPr>
        <w:t>é</w:t>
      </w:r>
      <w:r w:rsidR="00306D9E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8313E4">
        <w:rPr>
          <w:rFonts w:ascii="Times New Roman" w:hAnsi="Times New Roman" w:cs="Times New Roman"/>
          <w:sz w:val="24"/>
          <w:szCs w:val="24"/>
        </w:rPr>
        <w:t>kompetencie</w:t>
      </w:r>
      <w:r w:rsidR="00306D9E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8313E4">
        <w:rPr>
          <w:rFonts w:ascii="Times New Roman" w:hAnsi="Times New Roman" w:cs="Times New Roman"/>
          <w:sz w:val="24"/>
          <w:szCs w:val="24"/>
        </w:rPr>
        <w:t>štátu na obce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13E4">
        <w:rPr>
          <w:rFonts w:ascii="Times New Roman" w:hAnsi="Times New Roman" w:cs="Times New Roman"/>
          <w:sz w:val="24"/>
          <w:szCs w:val="24"/>
        </w:rPr>
        <w:t>dotá</w:t>
      </w:r>
      <w:r>
        <w:rPr>
          <w:rFonts w:ascii="Times New Roman" w:hAnsi="Times New Roman" w:cs="Times New Roman"/>
          <w:sz w:val="24"/>
          <w:szCs w:val="24"/>
        </w:rPr>
        <w:t>cie na sociálnu starostlivosť Strediska sociálnych služieb Petržalka</w:t>
      </w:r>
      <w:r w:rsidR="00306D9E" w:rsidRPr="005A73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Najvyšší podiel na týchto príjmoch majú transfery na prenesený výkon štátnej správy pre úsek školstva </w:t>
      </w:r>
      <w:r w:rsidR="00FF5B2F">
        <w:rPr>
          <w:rFonts w:ascii="Times New Roman" w:hAnsi="Times New Roman" w:cs="Times New Roman"/>
          <w:sz w:val="24"/>
          <w:szCs w:val="24"/>
        </w:rPr>
        <w:t xml:space="preserve">a to </w:t>
      </w:r>
      <w:r>
        <w:rPr>
          <w:rFonts w:ascii="Times New Roman" w:hAnsi="Times New Roman" w:cs="Times New Roman"/>
          <w:sz w:val="24"/>
          <w:szCs w:val="24"/>
        </w:rPr>
        <w:t xml:space="preserve">vo </w:t>
      </w:r>
      <w:r w:rsidR="00FF5B2F">
        <w:rPr>
          <w:rFonts w:ascii="Times New Roman" w:hAnsi="Times New Roman" w:cs="Times New Roman"/>
          <w:sz w:val="24"/>
          <w:szCs w:val="24"/>
        </w:rPr>
        <w:t xml:space="preserve">výške </w:t>
      </w:r>
      <w:r>
        <w:rPr>
          <w:rFonts w:ascii="Times New Roman" w:hAnsi="Times New Roman" w:cs="Times New Roman"/>
          <w:sz w:val="24"/>
          <w:szCs w:val="24"/>
        </w:rPr>
        <w:t>10 </w:t>
      </w:r>
      <w:r w:rsidR="00085619">
        <w:rPr>
          <w:rFonts w:ascii="Times New Roman" w:hAnsi="Times New Roman" w:cs="Times New Roman"/>
          <w:sz w:val="24"/>
          <w:szCs w:val="24"/>
        </w:rPr>
        <w:t>788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85619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</w:p>
    <w:p w:rsidR="00511EDC" w:rsidRDefault="00753CFB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</w:t>
      </w:r>
      <w:r w:rsidR="00D406AE" w:rsidRPr="005A731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A7319">
        <w:rPr>
          <w:rFonts w:ascii="Times New Roman" w:hAnsi="Times New Roman" w:cs="Times New Roman"/>
          <w:sz w:val="24"/>
          <w:szCs w:val="24"/>
        </w:rPr>
        <w:t xml:space="preserve">Do rozpočtu príjmov sa zahrňujú aj príjmy z rozpočtových organizácií, ktoré sa zaraďujú v zmysle </w:t>
      </w:r>
      <w:r w:rsidR="008237BD" w:rsidRPr="005A7319">
        <w:rPr>
          <w:rFonts w:ascii="Times New Roman" w:hAnsi="Times New Roman" w:cs="Times New Roman"/>
          <w:bCs/>
          <w:sz w:val="24"/>
          <w:szCs w:val="24"/>
        </w:rPr>
        <w:t>Opatrenia MF SR</w:t>
      </w:r>
      <w:r w:rsidR="008237BD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sz w:val="24"/>
          <w:szCs w:val="24"/>
        </w:rPr>
        <w:t>ako nedaňové príjmy. Tieto sú pre rok 20</w:t>
      </w:r>
      <w:r w:rsidR="00511EDC">
        <w:rPr>
          <w:rFonts w:ascii="Times New Roman" w:hAnsi="Times New Roman" w:cs="Times New Roman"/>
          <w:sz w:val="24"/>
          <w:szCs w:val="24"/>
        </w:rPr>
        <w:t>2</w:t>
      </w:r>
      <w:r w:rsidR="00085619">
        <w:rPr>
          <w:rFonts w:ascii="Times New Roman" w:hAnsi="Times New Roman" w:cs="Times New Roman"/>
          <w:sz w:val="24"/>
          <w:szCs w:val="24"/>
        </w:rPr>
        <w:t>1</w:t>
      </w:r>
      <w:r w:rsidRPr="005A7319">
        <w:rPr>
          <w:rFonts w:ascii="Times New Roman" w:hAnsi="Times New Roman" w:cs="Times New Roman"/>
          <w:sz w:val="24"/>
          <w:szCs w:val="24"/>
        </w:rPr>
        <w:t xml:space="preserve"> navrhované vo výške </w:t>
      </w:r>
      <w:r w:rsidR="00085619">
        <w:rPr>
          <w:rFonts w:ascii="Times New Roman" w:hAnsi="Times New Roman" w:cs="Times New Roman"/>
          <w:sz w:val="24"/>
          <w:szCs w:val="24"/>
        </w:rPr>
        <w:t>1</w:t>
      </w:r>
      <w:r w:rsidR="00511EDC">
        <w:rPr>
          <w:rFonts w:ascii="Times New Roman" w:hAnsi="Times New Roman" w:cs="Times New Roman"/>
          <w:sz w:val="24"/>
          <w:szCs w:val="24"/>
        </w:rPr>
        <w:t> </w:t>
      </w:r>
      <w:r w:rsidR="00085619">
        <w:rPr>
          <w:rFonts w:ascii="Times New Roman" w:hAnsi="Times New Roman" w:cs="Times New Roman"/>
          <w:sz w:val="24"/>
          <w:szCs w:val="24"/>
        </w:rPr>
        <w:t>899</w:t>
      </w:r>
      <w:r w:rsidR="00511EDC">
        <w:rPr>
          <w:rFonts w:ascii="Times New Roman" w:hAnsi="Times New Roman" w:cs="Times New Roman"/>
          <w:sz w:val="24"/>
          <w:szCs w:val="24"/>
        </w:rPr>
        <w:t xml:space="preserve"> </w:t>
      </w:r>
      <w:r w:rsidR="00085619">
        <w:rPr>
          <w:rFonts w:ascii="Times New Roman" w:hAnsi="Times New Roman" w:cs="Times New Roman"/>
          <w:sz w:val="24"/>
          <w:szCs w:val="24"/>
        </w:rPr>
        <w:t>982</w:t>
      </w:r>
      <w:r w:rsidRPr="005A7319">
        <w:rPr>
          <w:rFonts w:ascii="Times New Roman" w:hAnsi="Times New Roman" w:cs="Times New Roman"/>
          <w:sz w:val="24"/>
          <w:szCs w:val="24"/>
        </w:rPr>
        <w:t xml:space="preserve"> EUR</w:t>
      </w:r>
      <w:r w:rsidR="00F459A8">
        <w:rPr>
          <w:rFonts w:ascii="Times New Roman" w:hAnsi="Times New Roman" w:cs="Times New Roman"/>
          <w:sz w:val="24"/>
          <w:szCs w:val="24"/>
        </w:rPr>
        <w:t>.</w:t>
      </w:r>
      <w:r w:rsidRPr="005A7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3F3B">
        <w:rPr>
          <w:rFonts w:ascii="Times New Roman" w:hAnsi="Times New Roman" w:cs="Times New Roman"/>
          <w:sz w:val="24"/>
          <w:szCs w:val="24"/>
        </w:rPr>
        <w:t>P</w:t>
      </w:r>
      <w:r w:rsidRPr="005A7319">
        <w:rPr>
          <w:rFonts w:ascii="Times New Roman" w:hAnsi="Times New Roman" w:cs="Times New Roman"/>
          <w:sz w:val="24"/>
          <w:szCs w:val="24"/>
        </w:rPr>
        <w:t>r</w:t>
      </w:r>
      <w:r w:rsidR="00085619">
        <w:rPr>
          <w:rFonts w:ascii="Times New Roman" w:hAnsi="Times New Roman" w:cs="Times New Roman"/>
          <w:sz w:val="24"/>
          <w:szCs w:val="24"/>
        </w:rPr>
        <w:t>edstavujú príjmy od 14 organizácií v zriaďovateľskej pôsobnosti mestskej časti.</w:t>
      </w:r>
    </w:p>
    <w:p w:rsidR="00D406AE" w:rsidRPr="005A7319" w:rsidRDefault="00753CFB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948" w:rsidRDefault="00753CFB" w:rsidP="00BE3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D406AE" w:rsidRPr="005A7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sz w:val="24"/>
          <w:szCs w:val="24"/>
        </w:rPr>
        <w:t xml:space="preserve">Rozpočet kapitálových </w:t>
      </w:r>
      <w:r w:rsidRPr="0005718A">
        <w:rPr>
          <w:rFonts w:ascii="Times New Roman" w:hAnsi="Times New Roman" w:cs="Times New Roman"/>
          <w:sz w:val="24"/>
          <w:szCs w:val="24"/>
        </w:rPr>
        <w:t xml:space="preserve">príjmov </w:t>
      </w:r>
      <w:r w:rsidR="00C53A63" w:rsidRPr="0005718A">
        <w:rPr>
          <w:rFonts w:ascii="Times New Roman" w:hAnsi="Times New Roman" w:cs="Times New Roman"/>
          <w:sz w:val="24"/>
          <w:szCs w:val="24"/>
        </w:rPr>
        <w:t xml:space="preserve">je </w:t>
      </w:r>
      <w:r w:rsidR="0053713A">
        <w:rPr>
          <w:rFonts w:ascii="Times New Roman" w:hAnsi="Times New Roman" w:cs="Times New Roman"/>
          <w:sz w:val="24"/>
          <w:szCs w:val="24"/>
        </w:rPr>
        <w:t xml:space="preserve">vyšší </w:t>
      </w:r>
      <w:r w:rsidR="00BE3948">
        <w:rPr>
          <w:rFonts w:ascii="Times New Roman" w:hAnsi="Times New Roman" w:cs="Times New Roman"/>
          <w:sz w:val="24"/>
          <w:szCs w:val="24"/>
        </w:rPr>
        <w:t>o 370 674 EUR  oproti roku 2020.Kapitálové dotácie sú očakávané vo výške 777 246 EUR zo štátneho rozpočtu na rekonštrukciu a technické vybavenie odborných učební základných škôl a vo výške 356 074 EUR na projekt rekonštrukcie Turnianska.</w:t>
      </w:r>
    </w:p>
    <w:p w:rsidR="00BE3948" w:rsidRDefault="00BE3948" w:rsidP="00BE3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C3" w:rsidRPr="0023040D" w:rsidRDefault="00BE3948" w:rsidP="00A5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</w:t>
      </w:r>
      <w:r w:rsidR="00753CFB" w:rsidRPr="005A7319">
        <w:rPr>
          <w:rFonts w:ascii="Times New Roman" w:hAnsi="Times New Roman" w:cs="Times New Roman"/>
          <w:sz w:val="24"/>
          <w:szCs w:val="24"/>
        </w:rPr>
        <w:t>jmové finančné operácie</w:t>
      </w:r>
      <w:r w:rsidR="00E053F2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sú navrhované v objeme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0408F">
        <w:rPr>
          <w:rFonts w:ascii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Cs/>
          <w:sz w:val="24"/>
          <w:szCs w:val="24"/>
        </w:rPr>
        <w:t>309</w:t>
      </w:r>
      <w:r w:rsidR="008040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765</w:t>
      </w:r>
      <w:r w:rsidR="00E053F2" w:rsidRPr="005A7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EUR. </w:t>
      </w:r>
      <w:r w:rsidR="000F68AB" w:rsidRPr="0023040D">
        <w:rPr>
          <w:rFonts w:ascii="Times New Roman" w:hAnsi="Times New Roman" w:cs="Times New Roman"/>
          <w:sz w:val="24"/>
          <w:szCs w:val="24"/>
        </w:rPr>
        <w:t>Ide o</w:t>
      </w:r>
      <w:r w:rsidR="00EB0535" w:rsidRPr="0023040D">
        <w:rPr>
          <w:rFonts w:ascii="Times New Roman" w:hAnsi="Times New Roman" w:cs="Times New Roman"/>
          <w:sz w:val="24"/>
          <w:szCs w:val="24"/>
        </w:rPr>
        <w:t xml:space="preserve"> významné </w:t>
      </w:r>
      <w:r w:rsidR="000F68AB" w:rsidRPr="0023040D">
        <w:rPr>
          <w:rFonts w:ascii="Times New Roman" w:hAnsi="Times New Roman" w:cs="Times New Roman"/>
          <w:sz w:val="24"/>
          <w:szCs w:val="24"/>
        </w:rPr>
        <w:t xml:space="preserve">zapojenie disponibilného zostatku </w:t>
      </w:r>
      <w:r w:rsidR="00753CFB" w:rsidRPr="0023040D">
        <w:rPr>
          <w:rFonts w:ascii="Times New Roman" w:hAnsi="Times New Roman" w:cs="Times New Roman"/>
          <w:sz w:val="24"/>
          <w:szCs w:val="24"/>
        </w:rPr>
        <w:t>Rezervn</w:t>
      </w:r>
      <w:r w:rsidR="000F68AB" w:rsidRPr="0023040D">
        <w:rPr>
          <w:rFonts w:ascii="Times New Roman" w:hAnsi="Times New Roman" w:cs="Times New Roman"/>
          <w:sz w:val="24"/>
          <w:szCs w:val="24"/>
        </w:rPr>
        <w:t>ého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 fond</w:t>
      </w:r>
      <w:r w:rsidR="000F68AB" w:rsidRPr="0023040D">
        <w:rPr>
          <w:rFonts w:ascii="Times New Roman" w:hAnsi="Times New Roman" w:cs="Times New Roman"/>
          <w:sz w:val="24"/>
          <w:szCs w:val="24"/>
        </w:rPr>
        <w:t>u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 mestskej časti </w:t>
      </w:r>
      <w:r w:rsidR="000F68AB" w:rsidRPr="0023040D">
        <w:rPr>
          <w:rFonts w:ascii="Times New Roman" w:hAnsi="Times New Roman" w:cs="Times New Roman"/>
          <w:sz w:val="24"/>
          <w:szCs w:val="24"/>
        </w:rPr>
        <w:t>do rozpočtu roku 202</w:t>
      </w:r>
      <w:r w:rsidRPr="0023040D">
        <w:rPr>
          <w:rFonts w:ascii="Times New Roman" w:hAnsi="Times New Roman" w:cs="Times New Roman"/>
          <w:sz w:val="24"/>
          <w:szCs w:val="24"/>
        </w:rPr>
        <w:t>1 vo výške 2 600 000 EUR</w:t>
      </w:r>
      <w:r w:rsidR="0068362F" w:rsidRPr="0023040D">
        <w:rPr>
          <w:rFonts w:ascii="Times New Roman" w:hAnsi="Times New Roman" w:cs="Times New Roman"/>
          <w:sz w:val="24"/>
          <w:szCs w:val="24"/>
        </w:rPr>
        <w:t xml:space="preserve"> a tiež čerpanie komerčného úveru vo výške 2 500 000 EUR.</w:t>
      </w:r>
    </w:p>
    <w:p w:rsidR="00A5431A" w:rsidRPr="0023040D" w:rsidRDefault="00A5431A" w:rsidP="00A5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31A" w:rsidRPr="0023040D" w:rsidRDefault="00A5431A" w:rsidP="00A5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40D">
        <w:rPr>
          <w:rFonts w:ascii="Times New Roman" w:hAnsi="Times New Roman" w:cs="Times New Roman"/>
          <w:sz w:val="24"/>
          <w:szCs w:val="24"/>
        </w:rPr>
        <w:t xml:space="preserve">Príjmy mestskej časti spolu sú </w:t>
      </w:r>
      <w:r w:rsidR="00F44D96" w:rsidRPr="0023040D">
        <w:rPr>
          <w:rFonts w:ascii="Times New Roman" w:hAnsi="Times New Roman" w:cs="Times New Roman"/>
          <w:sz w:val="24"/>
          <w:szCs w:val="24"/>
        </w:rPr>
        <w:t xml:space="preserve">plánované </w:t>
      </w:r>
      <w:r w:rsidRPr="0023040D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F44D96" w:rsidRPr="0023040D">
        <w:rPr>
          <w:rFonts w:ascii="Times New Roman" w:hAnsi="Times New Roman" w:cs="Times New Roman"/>
          <w:sz w:val="24"/>
          <w:szCs w:val="24"/>
        </w:rPr>
        <w:t>51 436 981 EUR, čo je o 7 471 162 EUR viac ako boli plánované príjmy na rok 2020 a oproti skutočným príjmom v roku 2018, ktoré boli vo výške 40 206 474 Eur je to viac až o 11 230 507 EUR.</w:t>
      </w:r>
      <w:r w:rsidR="004B7407" w:rsidRPr="0023040D">
        <w:rPr>
          <w:rFonts w:ascii="Times New Roman" w:hAnsi="Times New Roman" w:cs="Times New Roman"/>
          <w:sz w:val="24"/>
          <w:szCs w:val="24"/>
        </w:rPr>
        <w:t xml:space="preserve"> Plánovaný  percentuálny nárast príjmov za 3 roky tak činí viac ako 27 %.</w:t>
      </w:r>
      <w:r w:rsidR="00F44D96" w:rsidRPr="00230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AB" w:rsidRPr="005A7319" w:rsidRDefault="000F68AB" w:rsidP="000D0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753CFB" w:rsidRPr="005A7319" w:rsidRDefault="00753CFB" w:rsidP="0062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 xml:space="preserve">Rozpočet výdavkov je v návrhu rozpočtu oproti </w:t>
      </w:r>
      <w:r w:rsidR="00E40A25" w:rsidRPr="005A7319">
        <w:rPr>
          <w:rFonts w:ascii="Times New Roman" w:hAnsi="Times New Roman" w:cs="Times New Roman"/>
          <w:sz w:val="24"/>
          <w:szCs w:val="24"/>
        </w:rPr>
        <w:t xml:space="preserve">očakávanému plneniu </w:t>
      </w:r>
      <w:r w:rsidRPr="005A7319">
        <w:rPr>
          <w:rFonts w:ascii="Times New Roman" w:hAnsi="Times New Roman" w:cs="Times New Roman"/>
          <w:sz w:val="24"/>
          <w:szCs w:val="24"/>
        </w:rPr>
        <w:t>rok</w:t>
      </w:r>
      <w:r w:rsidR="00E40A25" w:rsidRPr="005A7319">
        <w:rPr>
          <w:rFonts w:ascii="Times New Roman" w:hAnsi="Times New Roman" w:cs="Times New Roman"/>
          <w:sz w:val="24"/>
          <w:szCs w:val="24"/>
        </w:rPr>
        <w:t>a</w:t>
      </w:r>
      <w:r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E40A25" w:rsidRPr="005A7319">
        <w:rPr>
          <w:rFonts w:ascii="Times New Roman" w:hAnsi="Times New Roman" w:cs="Times New Roman"/>
          <w:sz w:val="24"/>
          <w:szCs w:val="24"/>
        </w:rPr>
        <w:t>20</w:t>
      </w:r>
      <w:r w:rsidR="0068362F">
        <w:rPr>
          <w:rFonts w:ascii="Times New Roman" w:hAnsi="Times New Roman" w:cs="Times New Roman"/>
          <w:sz w:val="24"/>
          <w:szCs w:val="24"/>
        </w:rPr>
        <w:t>20</w:t>
      </w:r>
      <w:r w:rsidRPr="005A7319">
        <w:rPr>
          <w:rFonts w:ascii="Times New Roman" w:hAnsi="Times New Roman" w:cs="Times New Roman"/>
          <w:sz w:val="24"/>
          <w:szCs w:val="24"/>
        </w:rPr>
        <w:t xml:space="preserve"> rozpočtovaný o</w:t>
      </w:r>
      <w:r w:rsidR="00E40D03">
        <w:rPr>
          <w:rFonts w:ascii="Times New Roman" w:hAnsi="Times New Roman" w:cs="Times New Roman"/>
          <w:sz w:val="24"/>
          <w:szCs w:val="24"/>
        </w:rPr>
        <w:t> </w:t>
      </w:r>
      <w:r w:rsidR="0068362F">
        <w:rPr>
          <w:rFonts w:ascii="Times New Roman" w:hAnsi="Times New Roman" w:cs="Times New Roman"/>
          <w:sz w:val="24"/>
          <w:szCs w:val="24"/>
        </w:rPr>
        <w:t>4</w:t>
      </w:r>
      <w:r w:rsidR="00E40D03">
        <w:rPr>
          <w:rFonts w:ascii="Times New Roman" w:hAnsi="Times New Roman" w:cs="Times New Roman"/>
          <w:sz w:val="24"/>
          <w:szCs w:val="24"/>
        </w:rPr>
        <w:t> </w:t>
      </w:r>
      <w:r w:rsidR="0068362F">
        <w:rPr>
          <w:rFonts w:ascii="Times New Roman" w:hAnsi="Times New Roman" w:cs="Times New Roman"/>
          <w:sz w:val="24"/>
          <w:szCs w:val="24"/>
        </w:rPr>
        <w:t>312</w:t>
      </w:r>
      <w:r w:rsidR="00E40D03">
        <w:rPr>
          <w:rFonts w:ascii="Times New Roman" w:hAnsi="Times New Roman" w:cs="Times New Roman"/>
          <w:sz w:val="24"/>
          <w:szCs w:val="24"/>
        </w:rPr>
        <w:t xml:space="preserve"> </w:t>
      </w:r>
      <w:r w:rsidR="0068362F">
        <w:rPr>
          <w:rFonts w:ascii="Times New Roman" w:hAnsi="Times New Roman" w:cs="Times New Roman"/>
          <w:sz w:val="24"/>
          <w:szCs w:val="24"/>
        </w:rPr>
        <w:t>550</w:t>
      </w:r>
      <w:r w:rsidR="002C4577" w:rsidRPr="005A7319">
        <w:rPr>
          <w:rFonts w:ascii="Times New Roman" w:hAnsi="Times New Roman" w:cs="Times New Roman"/>
          <w:sz w:val="24"/>
          <w:szCs w:val="24"/>
        </w:rPr>
        <w:t xml:space="preserve"> EUR </w:t>
      </w:r>
      <w:r w:rsidR="00E40A25" w:rsidRPr="005A7319">
        <w:rPr>
          <w:rFonts w:ascii="Times New Roman" w:hAnsi="Times New Roman" w:cs="Times New Roman"/>
          <w:sz w:val="24"/>
          <w:szCs w:val="24"/>
        </w:rPr>
        <w:t>v</w:t>
      </w:r>
      <w:r w:rsidR="00C725E8" w:rsidRPr="005A7319">
        <w:rPr>
          <w:rFonts w:ascii="Times New Roman" w:hAnsi="Times New Roman" w:cs="Times New Roman"/>
          <w:sz w:val="24"/>
          <w:szCs w:val="24"/>
        </w:rPr>
        <w:t>yšší</w:t>
      </w:r>
      <w:r w:rsidR="004B7407">
        <w:rPr>
          <w:rFonts w:ascii="Times New Roman" w:hAnsi="Times New Roman" w:cs="Times New Roman"/>
          <w:sz w:val="24"/>
          <w:szCs w:val="24"/>
        </w:rPr>
        <w:t>.</w:t>
      </w:r>
      <w:r w:rsidR="00A5431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A7319">
        <w:rPr>
          <w:rFonts w:ascii="Times New Roman" w:hAnsi="Times New Roman" w:cs="Times New Roman"/>
          <w:sz w:val="24"/>
          <w:szCs w:val="24"/>
        </w:rPr>
        <w:t>Samotné spracovanie rozpočtu výdav</w:t>
      </w:r>
      <w:r w:rsidR="005B0597" w:rsidRPr="005A7319">
        <w:rPr>
          <w:rFonts w:ascii="Times New Roman" w:hAnsi="Times New Roman" w:cs="Times New Roman"/>
          <w:sz w:val="24"/>
          <w:szCs w:val="24"/>
        </w:rPr>
        <w:t>kov je v súlade s ustanovením</w:t>
      </w:r>
      <w:r w:rsidRPr="005A7319">
        <w:rPr>
          <w:rFonts w:ascii="Times New Roman" w:hAnsi="Times New Roman" w:cs="Times New Roman"/>
          <w:sz w:val="24"/>
          <w:szCs w:val="24"/>
        </w:rPr>
        <w:t xml:space="preserve"> § 10 ods. 4 zákona o rozpočtových pravidlách územnej samosprávy, pričom obsahuje rozpočet výdavkov podľa jednotlivých programov m</w:t>
      </w:r>
      <w:r w:rsidR="002C4577" w:rsidRPr="005A7319">
        <w:rPr>
          <w:rFonts w:ascii="Times New Roman" w:hAnsi="Times New Roman" w:cs="Times New Roman"/>
          <w:sz w:val="24"/>
          <w:szCs w:val="24"/>
        </w:rPr>
        <w:t xml:space="preserve">estskej časti (11 programov </w:t>
      </w:r>
      <w:r w:rsidR="00A27149" w:rsidRPr="005A73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577" w:rsidRPr="005A7319">
        <w:rPr>
          <w:rFonts w:ascii="Times New Roman" w:hAnsi="Times New Roman" w:cs="Times New Roman"/>
          <w:sz w:val="24"/>
          <w:szCs w:val="24"/>
        </w:rPr>
        <w:t xml:space="preserve">a </w:t>
      </w:r>
      <w:r w:rsidR="00CA16B5">
        <w:rPr>
          <w:rFonts w:ascii="Times New Roman" w:hAnsi="Times New Roman" w:cs="Times New Roman"/>
          <w:sz w:val="24"/>
          <w:szCs w:val="24"/>
        </w:rPr>
        <w:t>42</w:t>
      </w:r>
      <w:r w:rsidRPr="005A7319">
        <w:rPr>
          <w:rFonts w:ascii="Times New Roman" w:hAnsi="Times New Roman" w:cs="Times New Roman"/>
          <w:sz w:val="24"/>
          <w:szCs w:val="24"/>
        </w:rPr>
        <w:t xml:space="preserve"> podprogramov a prvkov). V prehľadnej tabuľke sú vyjadrené rozpočtované výdavky v EUR vzhľadom na dodržanie ustanovenia § 10 ods. 3 písm. a) až c) zákona o rozpočtových pravidlách územnej samosprávy v členení na bežné výdavky, kapitálové výdavky a výdavkové finančné operácie:</w:t>
      </w:r>
    </w:p>
    <w:p w:rsidR="005125CC" w:rsidRPr="005A7319" w:rsidRDefault="005125CC" w:rsidP="0062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447"/>
        <w:gridCol w:w="1463"/>
        <w:gridCol w:w="1329"/>
        <w:gridCol w:w="1330"/>
        <w:gridCol w:w="1329"/>
      </w:tblGrid>
      <w:tr w:rsidR="002C4577" w:rsidRPr="005A7319" w:rsidTr="00BE3948">
        <w:trPr>
          <w:trHeight w:val="748"/>
        </w:trPr>
        <w:tc>
          <w:tcPr>
            <w:tcW w:w="2410" w:type="dxa"/>
            <w:shd w:val="clear" w:color="auto" w:fill="auto"/>
            <w:vAlign w:val="center"/>
          </w:tcPr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Ukazovateľ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C4577" w:rsidRPr="005A7319" w:rsidRDefault="002C4577" w:rsidP="00CA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CA16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schválený rozpočet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C4577" w:rsidRPr="005A7319" w:rsidRDefault="002C4577" w:rsidP="00CA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CA16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očakávaná skutočnosť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E40D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1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návrh 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202</w:t>
            </w:r>
            <w:r w:rsidR="00CA1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výhľad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Rok 202</w:t>
            </w:r>
            <w:r w:rsidR="00CA16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b/>
                <w:sz w:val="24"/>
                <w:szCs w:val="24"/>
              </w:rPr>
              <w:t>výhľad</w:t>
            </w:r>
          </w:p>
        </w:tc>
      </w:tr>
      <w:tr w:rsidR="002C4577" w:rsidRPr="005A7319" w:rsidTr="00BE3948">
        <w:trPr>
          <w:trHeight w:val="483"/>
        </w:trPr>
        <w:tc>
          <w:tcPr>
            <w:tcW w:w="2410" w:type="dxa"/>
            <w:shd w:val="clear" w:color="auto" w:fill="auto"/>
            <w:vAlign w:val="center"/>
          </w:tcPr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Bežné výdavky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0D03" w:rsidRPr="005A7319" w:rsidRDefault="00CA16B5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40 429</w:t>
            </w:r>
            <w:r w:rsidR="00E40D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C4577" w:rsidRPr="005A7319" w:rsidRDefault="00CA16B5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90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E9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577" w:rsidRPr="005A7319" w:rsidRDefault="00E90782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C4577" w:rsidRPr="005A7319" w:rsidRDefault="00CA16B5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90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E9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577" w:rsidRPr="005A7319" w:rsidRDefault="00E90782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2C4577" w:rsidRPr="005A7319" w:rsidTr="00BE3948">
        <w:trPr>
          <w:trHeight w:val="485"/>
        </w:trPr>
        <w:tc>
          <w:tcPr>
            <w:tcW w:w="2410" w:type="dxa"/>
            <w:shd w:val="clear" w:color="auto" w:fill="auto"/>
            <w:vAlign w:val="center"/>
          </w:tcPr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Kapitálové výdavky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C4577" w:rsidRPr="005A7319" w:rsidRDefault="00E40D03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C4577" w:rsidRPr="005A7319" w:rsidRDefault="00E90782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7208C" w:rsidRPr="005A7319" w:rsidRDefault="00CA16B5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9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C4577" w:rsidRPr="005A7319" w:rsidRDefault="00E90782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577" w:rsidRPr="005A7319" w:rsidRDefault="00CA16B5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E9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2C4577" w:rsidRPr="005A7319" w:rsidTr="00BE3948">
        <w:trPr>
          <w:trHeight w:val="268"/>
        </w:trPr>
        <w:tc>
          <w:tcPr>
            <w:tcW w:w="2410" w:type="dxa"/>
            <w:shd w:val="clear" w:color="auto" w:fill="auto"/>
            <w:vAlign w:val="center"/>
          </w:tcPr>
          <w:p w:rsidR="002C4577" w:rsidRPr="005A7319" w:rsidRDefault="002C4577" w:rsidP="0062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19">
              <w:rPr>
                <w:rFonts w:ascii="Times New Roman" w:hAnsi="Times New Roman" w:cs="Times New Roman"/>
                <w:sz w:val="24"/>
                <w:szCs w:val="24"/>
              </w:rPr>
              <w:t>Výdavkové finančné operácie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C4577" w:rsidRPr="005A7319" w:rsidRDefault="00CA16B5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  <w:r w:rsidR="00E40D03" w:rsidRPr="00E4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C4577" w:rsidRPr="005A7319" w:rsidRDefault="00E90782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782"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7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577" w:rsidRPr="00E90782" w:rsidRDefault="00E90782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78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E9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B5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C4577" w:rsidRPr="00E90782" w:rsidRDefault="00CA16B5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1 318</w:t>
            </w:r>
            <w:r w:rsidR="00E90782" w:rsidRPr="00E9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577" w:rsidRPr="00E90782" w:rsidRDefault="00CA16B5" w:rsidP="00CA1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1 244</w:t>
            </w:r>
            <w:r w:rsidR="00E90782" w:rsidRPr="00E9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</w:tbl>
    <w:p w:rsidR="008237BD" w:rsidRPr="005A7319" w:rsidRDefault="008237BD" w:rsidP="0062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CFB" w:rsidRDefault="00AD5628" w:rsidP="00571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Rozpočet bežných výdavkov je navrhovaný vo výške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A01989">
        <w:rPr>
          <w:rFonts w:ascii="Times New Roman" w:hAnsi="Times New Roman" w:cs="Times New Roman"/>
          <w:sz w:val="24"/>
          <w:szCs w:val="24"/>
        </w:rPr>
        <w:t>4</w:t>
      </w:r>
      <w:r w:rsidR="00CA16B5">
        <w:rPr>
          <w:rFonts w:ascii="Times New Roman" w:hAnsi="Times New Roman" w:cs="Times New Roman"/>
          <w:sz w:val="24"/>
          <w:szCs w:val="24"/>
        </w:rPr>
        <w:t>3</w:t>
      </w:r>
      <w:r w:rsidR="00A01989">
        <w:rPr>
          <w:rFonts w:ascii="Times New Roman" w:hAnsi="Times New Roman" w:cs="Times New Roman"/>
          <w:sz w:val="24"/>
          <w:szCs w:val="24"/>
        </w:rPr>
        <w:t> </w:t>
      </w:r>
      <w:r w:rsidR="00CA16B5">
        <w:rPr>
          <w:rFonts w:ascii="Times New Roman" w:hAnsi="Times New Roman" w:cs="Times New Roman"/>
          <w:sz w:val="24"/>
          <w:szCs w:val="24"/>
        </w:rPr>
        <w:t>868</w:t>
      </w:r>
      <w:r w:rsidR="00A01989">
        <w:rPr>
          <w:rFonts w:ascii="Times New Roman" w:hAnsi="Times New Roman" w:cs="Times New Roman"/>
          <w:sz w:val="24"/>
          <w:szCs w:val="24"/>
        </w:rPr>
        <w:t xml:space="preserve"> </w:t>
      </w:r>
      <w:r w:rsidR="00CA16B5">
        <w:rPr>
          <w:rFonts w:ascii="Times New Roman" w:hAnsi="Times New Roman" w:cs="Times New Roman"/>
          <w:sz w:val="24"/>
          <w:szCs w:val="24"/>
        </w:rPr>
        <w:t>820</w:t>
      </w:r>
      <w:r w:rsidR="00C60F30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EUR. </w:t>
      </w:r>
      <w:r w:rsidR="00753CFB" w:rsidRPr="00393C28">
        <w:rPr>
          <w:rFonts w:ascii="Times New Roman" w:hAnsi="Times New Roman" w:cs="Times New Roman"/>
          <w:sz w:val="24"/>
          <w:szCs w:val="24"/>
        </w:rPr>
        <w:t>Najvyšší podiel na týchto výdavkoch predstavuj</w:t>
      </w:r>
      <w:r w:rsidR="00C60F30" w:rsidRPr="00393C28">
        <w:rPr>
          <w:rFonts w:ascii="Times New Roman" w:hAnsi="Times New Roman" w:cs="Times New Roman"/>
          <w:sz w:val="24"/>
          <w:szCs w:val="24"/>
        </w:rPr>
        <w:t>ú výdavky na oblasť vzdelávania</w:t>
      </w:r>
      <w:r w:rsidR="00753CFB" w:rsidRPr="00393C28">
        <w:rPr>
          <w:rFonts w:ascii="Times New Roman" w:hAnsi="Times New Roman" w:cs="Times New Roman"/>
          <w:sz w:val="24"/>
          <w:szCs w:val="24"/>
        </w:rPr>
        <w:t xml:space="preserve"> v objeme </w:t>
      </w:r>
      <w:r w:rsidR="00CD4FEF" w:rsidRPr="00393C28">
        <w:rPr>
          <w:rFonts w:ascii="Times New Roman" w:hAnsi="Times New Roman" w:cs="Times New Roman"/>
          <w:sz w:val="24"/>
          <w:szCs w:val="24"/>
        </w:rPr>
        <w:br/>
      </w:r>
      <w:r w:rsidR="00C60F30" w:rsidRPr="00393C28">
        <w:rPr>
          <w:rFonts w:ascii="Times New Roman" w:hAnsi="Times New Roman" w:cs="Times New Roman"/>
          <w:bCs/>
          <w:sz w:val="24"/>
          <w:szCs w:val="24"/>
        </w:rPr>
        <w:t>2</w:t>
      </w:r>
      <w:r w:rsidR="00CA16B5">
        <w:rPr>
          <w:rFonts w:ascii="Times New Roman" w:hAnsi="Times New Roman" w:cs="Times New Roman"/>
          <w:bCs/>
          <w:sz w:val="24"/>
          <w:szCs w:val="24"/>
        </w:rPr>
        <w:t>5</w:t>
      </w:r>
      <w:r w:rsidR="00F05D11" w:rsidRPr="00393C28">
        <w:rPr>
          <w:rFonts w:ascii="Times New Roman" w:hAnsi="Times New Roman" w:cs="Times New Roman"/>
          <w:bCs/>
          <w:sz w:val="24"/>
          <w:szCs w:val="24"/>
        </w:rPr>
        <w:t> </w:t>
      </w:r>
      <w:r w:rsidR="00CA16B5">
        <w:rPr>
          <w:rFonts w:ascii="Times New Roman" w:hAnsi="Times New Roman" w:cs="Times New Roman"/>
          <w:bCs/>
          <w:sz w:val="24"/>
          <w:szCs w:val="24"/>
        </w:rPr>
        <w:t>622</w:t>
      </w:r>
      <w:r w:rsidR="00F05D11" w:rsidRPr="00393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6B5">
        <w:rPr>
          <w:rFonts w:ascii="Times New Roman" w:hAnsi="Times New Roman" w:cs="Times New Roman"/>
          <w:bCs/>
          <w:sz w:val="24"/>
          <w:szCs w:val="24"/>
        </w:rPr>
        <w:t>504</w:t>
      </w:r>
      <w:r w:rsidR="00C60F30" w:rsidRPr="00393C28">
        <w:rPr>
          <w:rFonts w:ascii="Times New Roman" w:hAnsi="Times New Roman" w:cs="Times New Roman"/>
          <w:sz w:val="24"/>
          <w:szCs w:val="24"/>
        </w:rPr>
        <w:t xml:space="preserve"> </w:t>
      </w:r>
      <w:r w:rsidR="00753CFB" w:rsidRPr="00393C28">
        <w:rPr>
          <w:rFonts w:ascii="Times New Roman" w:hAnsi="Times New Roman" w:cs="Times New Roman"/>
          <w:sz w:val="24"/>
          <w:szCs w:val="24"/>
        </w:rPr>
        <w:t>EUR</w:t>
      </w:r>
      <w:r w:rsidR="002B6835" w:rsidRPr="00393C28">
        <w:rPr>
          <w:rFonts w:ascii="Times New Roman" w:hAnsi="Times New Roman" w:cs="Times New Roman"/>
          <w:sz w:val="24"/>
          <w:szCs w:val="24"/>
        </w:rPr>
        <w:t>, ktoré majú stúpajúcu tendenciu, pre porovnanie s predchádzajúcimi rokmi: 2016 – 16 443 183 EUR, 2017 – 16 357</w:t>
      </w:r>
      <w:r w:rsidR="00CA16B5">
        <w:rPr>
          <w:rFonts w:ascii="Times New Roman" w:hAnsi="Times New Roman" w:cs="Times New Roman"/>
          <w:sz w:val="24"/>
          <w:szCs w:val="24"/>
        </w:rPr>
        <w:t> 893 EUR, 2018 – 19 665 984 EUR, 2019</w:t>
      </w:r>
      <w:r w:rsidR="002B6835" w:rsidRPr="00393C28">
        <w:rPr>
          <w:rFonts w:ascii="Times New Roman" w:hAnsi="Times New Roman" w:cs="Times New Roman"/>
          <w:sz w:val="24"/>
          <w:szCs w:val="24"/>
        </w:rPr>
        <w:t xml:space="preserve"> – 21 954 381 EUR</w:t>
      </w:r>
      <w:r w:rsidR="004137CA">
        <w:rPr>
          <w:rFonts w:ascii="Times New Roman" w:hAnsi="Times New Roman" w:cs="Times New Roman"/>
          <w:sz w:val="24"/>
          <w:szCs w:val="24"/>
        </w:rPr>
        <w:t>,  2020 – 23 941 017 EUR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4137CA">
        <w:rPr>
          <w:rFonts w:ascii="Times New Roman" w:hAnsi="Times New Roman" w:cs="Times New Roman"/>
          <w:sz w:val="24"/>
          <w:szCs w:val="24"/>
        </w:rPr>
        <w:t>.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V menovanom programe sú správne zapracované úroky z úverov z minulých rokov, ktoré sa svojou povahou nezaraďujú do finančných operácií, čo je v súlade s Opatrením Ministerstva financií Slovenskej republiky  č. </w:t>
      </w:r>
      <w:r w:rsidR="00753CFB" w:rsidRPr="005A7319">
        <w:rPr>
          <w:rFonts w:ascii="Times New Roman" w:hAnsi="Times New Roman" w:cs="Times New Roman"/>
          <w:bCs/>
          <w:sz w:val="24"/>
          <w:szCs w:val="24"/>
        </w:rPr>
        <w:t>MF/010175/2004-42</w:t>
      </w:r>
      <w:r w:rsidR="00753CFB" w:rsidRPr="005A7319">
        <w:rPr>
          <w:rFonts w:ascii="Times New Roman" w:hAnsi="Times New Roman" w:cs="Times New Roman"/>
          <w:sz w:val="24"/>
          <w:szCs w:val="24"/>
        </w:rPr>
        <w:t>.</w:t>
      </w:r>
      <w:r w:rsidR="00753CFB" w:rsidRPr="005A7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5D11">
        <w:rPr>
          <w:rFonts w:ascii="Times New Roman" w:hAnsi="Times New Roman" w:cs="Times New Roman"/>
          <w:sz w:val="24"/>
          <w:szCs w:val="24"/>
        </w:rPr>
        <w:t xml:space="preserve">Druhý najvyšší objem 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v </w:t>
      </w:r>
      <w:r w:rsidR="00753CFB" w:rsidRPr="0023040D">
        <w:rPr>
          <w:rFonts w:ascii="Times New Roman" w:hAnsi="Times New Roman" w:cs="Times New Roman"/>
          <w:sz w:val="24"/>
          <w:szCs w:val="24"/>
        </w:rPr>
        <w:t xml:space="preserve">rozpočte výdavkov tvoria bežné výdavky </w:t>
      </w:r>
      <w:r w:rsidRPr="0023040D">
        <w:rPr>
          <w:rFonts w:ascii="Times New Roman" w:hAnsi="Times New Roman" w:cs="Times New Roman"/>
          <w:sz w:val="24"/>
          <w:szCs w:val="24"/>
        </w:rPr>
        <w:t xml:space="preserve">na moderný miestny úrad vo výške </w:t>
      </w:r>
      <w:r w:rsidR="00BB010C" w:rsidRPr="0023040D">
        <w:rPr>
          <w:rFonts w:ascii="Times New Roman" w:hAnsi="Times New Roman" w:cs="Times New Roman"/>
          <w:sz w:val="24"/>
          <w:szCs w:val="24"/>
        </w:rPr>
        <w:t>9</w:t>
      </w:r>
      <w:r w:rsidR="00F05D11" w:rsidRPr="0023040D">
        <w:rPr>
          <w:rFonts w:ascii="Times New Roman" w:hAnsi="Times New Roman" w:cs="Times New Roman"/>
          <w:bCs/>
          <w:sz w:val="24"/>
          <w:szCs w:val="24"/>
        </w:rPr>
        <w:t> </w:t>
      </w:r>
      <w:r w:rsidR="00BB010C" w:rsidRPr="0023040D">
        <w:rPr>
          <w:rFonts w:ascii="Times New Roman" w:hAnsi="Times New Roman" w:cs="Times New Roman"/>
          <w:bCs/>
          <w:sz w:val="24"/>
          <w:szCs w:val="24"/>
        </w:rPr>
        <w:t>230</w:t>
      </w:r>
      <w:r w:rsidR="00F05D11" w:rsidRPr="002304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10C" w:rsidRPr="0023040D">
        <w:rPr>
          <w:rFonts w:ascii="Times New Roman" w:hAnsi="Times New Roman" w:cs="Times New Roman"/>
          <w:bCs/>
          <w:sz w:val="24"/>
          <w:szCs w:val="24"/>
        </w:rPr>
        <w:t>628</w:t>
      </w:r>
      <w:r w:rsidRPr="002304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40D">
        <w:rPr>
          <w:rFonts w:ascii="Times New Roman" w:hAnsi="Times New Roman" w:cs="Times New Roman"/>
          <w:sz w:val="24"/>
          <w:szCs w:val="24"/>
        </w:rPr>
        <w:t>EUR</w:t>
      </w:r>
      <w:r w:rsidR="00BB010C" w:rsidRPr="0023040D">
        <w:rPr>
          <w:rFonts w:ascii="Times New Roman" w:hAnsi="Times New Roman" w:cs="Times New Roman"/>
          <w:sz w:val="24"/>
          <w:szCs w:val="24"/>
        </w:rPr>
        <w:t>.</w:t>
      </w:r>
      <w:r w:rsidRPr="002304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407" w:rsidRPr="0023040D">
        <w:rPr>
          <w:rFonts w:ascii="Times New Roman" w:hAnsi="Times New Roman" w:cs="Times New Roman"/>
          <w:bCs/>
          <w:sz w:val="24"/>
          <w:szCs w:val="24"/>
        </w:rPr>
        <w:t xml:space="preserve">Významný nárast v tejto položke je okrem iného spôsobený aj zrušením Strediska služieb školám a školským zariadeniam. </w:t>
      </w:r>
      <w:r w:rsidRPr="005A7319">
        <w:rPr>
          <w:rFonts w:ascii="Times New Roman" w:hAnsi="Times New Roman" w:cs="Times New Roman"/>
          <w:bCs/>
          <w:sz w:val="24"/>
          <w:szCs w:val="24"/>
        </w:rPr>
        <w:t>Výdavky slúžia</w:t>
      </w:r>
      <w:r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753CFB" w:rsidRPr="005A7319">
        <w:rPr>
          <w:rFonts w:ascii="Times New Roman" w:hAnsi="Times New Roman" w:cs="Times New Roman"/>
          <w:sz w:val="24"/>
          <w:szCs w:val="24"/>
        </w:rPr>
        <w:t>na zabezpečenie chodu miestneho úradu, prevádzkové výdavky a </w:t>
      </w:r>
      <w:r w:rsidRPr="005A7319">
        <w:rPr>
          <w:rFonts w:ascii="Times New Roman" w:hAnsi="Times New Roman" w:cs="Times New Roman"/>
          <w:sz w:val="24"/>
          <w:szCs w:val="24"/>
        </w:rPr>
        <w:t xml:space="preserve">osobné </w:t>
      </w:r>
      <w:r w:rsidR="00753CFB" w:rsidRPr="005A7319">
        <w:rPr>
          <w:rFonts w:ascii="Times New Roman" w:hAnsi="Times New Roman" w:cs="Times New Roman"/>
          <w:sz w:val="24"/>
          <w:szCs w:val="24"/>
        </w:rPr>
        <w:t>výdavky.</w:t>
      </w:r>
      <w:r w:rsidR="00753CFB" w:rsidRPr="005A7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Tretí najväčší objem vo výdavkovej časti bežného rozpočtu predstavujú výdavky na </w:t>
      </w:r>
      <w:r w:rsidR="00017DA5" w:rsidRPr="005A7319">
        <w:rPr>
          <w:rFonts w:ascii="Times New Roman" w:hAnsi="Times New Roman" w:cs="Times New Roman"/>
          <w:sz w:val="24"/>
          <w:szCs w:val="24"/>
        </w:rPr>
        <w:t xml:space="preserve">oblasť kultúry a športu 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017DA5" w:rsidRPr="005A7319">
        <w:rPr>
          <w:rFonts w:ascii="Times New Roman" w:hAnsi="Times New Roman" w:cs="Times New Roman"/>
          <w:sz w:val="24"/>
          <w:szCs w:val="24"/>
        </w:rPr>
        <w:t>2</w:t>
      </w:r>
      <w:r w:rsidR="00472AE9">
        <w:rPr>
          <w:rFonts w:ascii="Times New Roman" w:hAnsi="Times New Roman" w:cs="Times New Roman"/>
          <w:sz w:val="24"/>
          <w:szCs w:val="24"/>
        </w:rPr>
        <w:t> </w:t>
      </w:r>
      <w:r w:rsidR="00BB010C">
        <w:rPr>
          <w:rFonts w:ascii="Times New Roman" w:hAnsi="Times New Roman" w:cs="Times New Roman"/>
          <w:sz w:val="24"/>
          <w:szCs w:val="24"/>
        </w:rPr>
        <w:t>532</w:t>
      </w:r>
      <w:r w:rsidR="00472AE9">
        <w:rPr>
          <w:rFonts w:ascii="Times New Roman" w:hAnsi="Times New Roman" w:cs="Times New Roman"/>
          <w:sz w:val="24"/>
          <w:szCs w:val="24"/>
        </w:rPr>
        <w:t xml:space="preserve"> </w:t>
      </w:r>
      <w:r w:rsidR="00BB010C">
        <w:rPr>
          <w:rFonts w:ascii="Times New Roman" w:hAnsi="Times New Roman" w:cs="Times New Roman"/>
          <w:sz w:val="24"/>
          <w:szCs w:val="24"/>
        </w:rPr>
        <w:t>885</w:t>
      </w:r>
      <w:r w:rsidR="00017DA5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EUR. Nasledujú výdavky bežného rozpočtu zamerané na </w:t>
      </w:r>
      <w:r w:rsidR="00BB010C">
        <w:rPr>
          <w:rFonts w:ascii="Times New Roman" w:hAnsi="Times New Roman" w:cs="Times New Roman"/>
          <w:sz w:val="24"/>
          <w:szCs w:val="24"/>
        </w:rPr>
        <w:t>sociálnu pomoc a sociálne služby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, ktoré sú rozpočtované v sume </w:t>
      </w:r>
      <w:r w:rsidR="00017DA5" w:rsidRPr="005A7319">
        <w:rPr>
          <w:rFonts w:ascii="Times New Roman" w:hAnsi="Times New Roman" w:cs="Times New Roman"/>
          <w:sz w:val="24"/>
          <w:szCs w:val="24"/>
        </w:rPr>
        <w:t>2</w:t>
      </w:r>
      <w:r w:rsidR="00472AE9">
        <w:rPr>
          <w:rFonts w:ascii="Times New Roman" w:hAnsi="Times New Roman" w:cs="Times New Roman"/>
          <w:sz w:val="24"/>
          <w:szCs w:val="24"/>
        </w:rPr>
        <w:t> </w:t>
      </w:r>
      <w:r w:rsidR="00BB010C">
        <w:rPr>
          <w:rFonts w:ascii="Times New Roman" w:hAnsi="Times New Roman" w:cs="Times New Roman"/>
          <w:sz w:val="24"/>
          <w:szCs w:val="24"/>
        </w:rPr>
        <w:t>074</w:t>
      </w:r>
      <w:r w:rsidR="00472AE9">
        <w:rPr>
          <w:rFonts w:ascii="Times New Roman" w:hAnsi="Times New Roman" w:cs="Times New Roman"/>
          <w:sz w:val="24"/>
          <w:szCs w:val="24"/>
        </w:rPr>
        <w:t xml:space="preserve"> </w:t>
      </w:r>
      <w:r w:rsidR="00BB010C">
        <w:rPr>
          <w:rFonts w:ascii="Times New Roman" w:hAnsi="Times New Roman" w:cs="Times New Roman"/>
          <w:sz w:val="24"/>
          <w:szCs w:val="24"/>
        </w:rPr>
        <w:t>140</w:t>
      </w:r>
      <w:r w:rsidR="00017DA5" w:rsidRPr="005A7319">
        <w:rPr>
          <w:rFonts w:ascii="Times New Roman" w:hAnsi="Times New Roman" w:cs="Times New Roman"/>
          <w:sz w:val="24"/>
          <w:szCs w:val="24"/>
        </w:rPr>
        <w:t xml:space="preserve"> 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EUR. V súvislosti </w:t>
      </w:r>
      <w:r w:rsidR="00753CFB" w:rsidRPr="005A7319">
        <w:rPr>
          <w:rFonts w:ascii="Times New Roman" w:hAnsi="Times New Roman" w:cs="Times New Roman"/>
          <w:sz w:val="24"/>
          <w:szCs w:val="24"/>
        </w:rPr>
        <w:lastRenderedPageBreak/>
        <w:t>s rozpočtom bežných výdavkov je vhodné spomenúť, že v podprograme 1.</w:t>
      </w:r>
      <w:r w:rsidR="00056A2C" w:rsidRPr="005A7319">
        <w:rPr>
          <w:rFonts w:ascii="Times New Roman" w:hAnsi="Times New Roman" w:cs="Times New Roman"/>
          <w:sz w:val="24"/>
          <w:szCs w:val="24"/>
        </w:rPr>
        <w:t>5</w:t>
      </w:r>
      <w:r w:rsidR="00753CFB" w:rsidRPr="005A7319">
        <w:rPr>
          <w:rFonts w:ascii="Times New Roman" w:hAnsi="Times New Roman" w:cs="Times New Roman"/>
          <w:sz w:val="24"/>
          <w:szCs w:val="24"/>
        </w:rPr>
        <w:t xml:space="preserve"> Pod</w:t>
      </w:r>
      <w:r w:rsidR="00056A2C" w:rsidRPr="005A7319">
        <w:rPr>
          <w:rFonts w:ascii="Times New Roman" w:hAnsi="Times New Roman" w:cs="Times New Roman"/>
          <w:sz w:val="24"/>
          <w:szCs w:val="24"/>
        </w:rPr>
        <w:t>pora neziskových organizácií je súčasťou rozpočtu bežných výdavkov (</w:t>
      </w:r>
      <w:r w:rsidR="00472AE9">
        <w:rPr>
          <w:rFonts w:ascii="Times New Roman" w:hAnsi="Times New Roman" w:cs="Times New Roman"/>
          <w:sz w:val="24"/>
          <w:szCs w:val="24"/>
        </w:rPr>
        <w:t>2</w:t>
      </w:r>
      <w:r w:rsidR="006F076B">
        <w:rPr>
          <w:rFonts w:ascii="Times New Roman" w:hAnsi="Times New Roman" w:cs="Times New Roman"/>
          <w:sz w:val="24"/>
          <w:szCs w:val="24"/>
        </w:rPr>
        <w:t>86</w:t>
      </w:r>
      <w:r w:rsidR="00472AE9">
        <w:rPr>
          <w:rFonts w:ascii="Times New Roman" w:hAnsi="Times New Roman" w:cs="Times New Roman"/>
          <w:sz w:val="24"/>
          <w:szCs w:val="24"/>
        </w:rPr>
        <w:t xml:space="preserve"> </w:t>
      </w:r>
      <w:r w:rsidR="006F076B">
        <w:rPr>
          <w:rFonts w:ascii="Times New Roman" w:hAnsi="Times New Roman" w:cs="Times New Roman"/>
          <w:sz w:val="24"/>
          <w:szCs w:val="24"/>
        </w:rPr>
        <w:t>876</w:t>
      </w:r>
      <w:r w:rsidR="00056A2C" w:rsidRPr="005A7319">
        <w:rPr>
          <w:rFonts w:ascii="Times New Roman" w:hAnsi="Times New Roman" w:cs="Times New Roman"/>
          <w:sz w:val="24"/>
          <w:szCs w:val="24"/>
        </w:rPr>
        <w:t xml:space="preserve"> EUR) i podpora </w:t>
      </w:r>
      <w:r w:rsidR="00571E24">
        <w:rPr>
          <w:rFonts w:ascii="Times-Roman" w:hAnsi="Times-Roman" w:cs="Times-Roman"/>
          <w:sz w:val="24"/>
          <w:szCs w:val="24"/>
        </w:rPr>
        <w:t>neziskových organizácií, ob</w:t>
      </w:r>
      <w:r w:rsidR="00571E24">
        <w:rPr>
          <w:rFonts w:ascii="TimesNewRoman" w:eastAsia="TimesNewRoman" w:hAnsi="Times-Roman" w:cs="TimesNewRoman" w:hint="eastAsia"/>
          <w:sz w:val="24"/>
          <w:szCs w:val="24"/>
        </w:rPr>
        <w:t>č</w:t>
      </w:r>
      <w:r w:rsidR="00571E24">
        <w:rPr>
          <w:rFonts w:ascii="Times-Roman" w:hAnsi="Times-Roman" w:cs="Times-Roman"/>
          <w:sz w:val="24"/>
          <w:szCs w:val="24"/>
        </w:rPr>
        <w:t xml:space="preserve">ianskych združení a iných subjektov, poskytujúcich verejno-prospešné služby v oblasti kultúry, športu, mládeže, sociálnych služieb a iných verejnoprospešných </w:t>
      </w:r>
      <w:r w:rsidR="00571E24">
        <w:rPr>
          <w:rFonts w:ascii="TimesNewRoman" w:eastAsia="TimesNewRoman" w:hAnsi="Times-Roman" w:cs="TimesNewRoman" w:hint="eastAsia"/>
          <w:sz w:val="24"/>
          <w:szCs w:val="24"/>
        </w:rPr>
        <w:t>č</w:t>
      </w:r>
      <w:r w:rsidR="00571E24">
        <w:rPr>
          <w:rFonts w:ascii="Times-Roman" w:hAnsi="Times-Roman" w:cs="Times-Roman"/>
          <w:sz w:val="24"/>
          <w:szCs w:val="24"/>
        </w:rPr>
        <w:t>inností. Prerozdelenie sa bude uskuto</w:t>
      </w:r>
      <w:r w:rsidR="00571E24">
        <w:rPr>
          <w:rFonts w:ascii="TimesNewRoman" w:eastAsia="TimesNewRoman" w:hAnsi="Times-Roman" w:cs="TimesNewRoman" w:hint="eastAsia"/>
          <w:sz w:val="24"/>
          <w:szCs w:val="24"/>
        </w:rPr>
        <w:t>čň</w:t>
      </w:r>
      <w:r w:rsidR="00571E24">
        <w:rPr>
          <w:rFonts w:ascii="Times-Roman" w:hAnsi="Times-Roman" w:cs="Times-Roman"/>
          <w:sz w:val="24"/>
          <w:szCs w:val="24"/>
        </w:rPr>
        <w:t>ova</w:t>
      </w:r>
      <w:r w:rsidR="00571E24">
        <w:rPr>
          <w:rFonts w:ascii="TimesNewRoman" w:eastAsia="TimesNewRoman" w:hAnsi="Times-Roman" w:cs="TimesNewRoman" w:hint="eastAsia"/>
          <w:sz w:val="24"/>
          <w:szCs w:val="24"/>
        </w:rPr>
        <w:t>ť</w:t>
      </w:r>
      <w:r w:rsidR="00571E24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="00571E24">
        <w:rPr>
          <w:rFonts w:ascii="Times-Roman" w:hAnsi="Times-Roman" w:cs="Times-Roman"/>
          <w:sz w:val="24"/>
          <w:szCs w:val="24"/>
        </w:rPr>
        <w:t>v zmysle VZN ako aj na základe schválení dotácií a následnom prerozdelení na zasadnutiach miestneho</w:t>
      </w:r>
      <w:r w:rsidR="00BD3FED">
        <w:rPr>
          <w:rFonts w:ascii="Times-Roman" w:hAnsi="Times-Roman" w:cs="Times-Roman"/>
          <w:sz w:val="24"/>
          <w:szCs w:val="24"/>
        </w:rPr>
        <w:t xml:space="preserve"> </w:t>
      </w:r>
      <w:r w:rsidR="00571E24">
        <w:rPr>
          <w:rFonts w:ascii="Times-Roman" w:hAnsi="Times-Roman" w:cs="Times-Roman"/>
          <w:sz w:val="24"/>
          <w:szCs w:val="24"/>
        </w:rPr>
        <w:t>zastupite</w:t>
      </w:r>
      <w:r w:rsidR="00571E24">
        <w:rPr>
          <w:rFonts w:ascii="TimesNewRoman" w:eastAsia="TimesNewRoman" w:hAnsi="Times-Roman" w:cs="TimesNewRoman" w:hint="eastAsia"/>
          <w:sz w:val="24"/>
          <w:szCs w:val="24"/>
        </w:rPr>
        <w:t>ľ</w:t>
      </w:r>
      <w:r w:rsidR="00571E24">
        <w:rPr>
          <w:rFonts w:ascii="Times-Roman" w:hAnsi="Times-Roman" w:cs="Times-Roman"/>
          <w:sz w:val="24"/>
          <w:szCs w:val="24"/>
        </w:rPr>
        <w:t>stva M</w:t>
      </w:r>
      <w:r w:rsidR="00571E24">
        <w:rPr>
          <w:rFonts w:ascii="TimesNewRoman" w:eastAsia="TimesNewRoman" w:hAnsi="Times-Roman" w:cs="TimesNewRoman" w:hint="eastAsia"/>
          <w:sz w:val="24"/>
          <w:szCs w:val="24"/>
        </w:rPr>
        <w:t>Č</w:t>
      </w:r>
      <w:r w:rsidR="00571E24">
        <w:rPr>
          <w:rFonts w:ascii="Times-Roman" w:hAnsi="Times-Roman" w:cs="Times-Roman"/>
          <w:sz w:val="24"/>
          <w:szCs w:val="24"/>
        </w:rPr>
        <w:t>.</w:t>
      </w:r>
      <w:r w:rsidR="00056A2C" w:rsidRPr="005A7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1B3" w:rsidRPr="00BD3FED" w:rsidRDefault="002731B3" w:rsidP="00571E24">
      <w:pPr>
        <w:spacing w:after="0" w:line="240" w:lineRule="auto"/>
        <w:ind w:firstLine="708"/>
        <w:jc w:val="both"/>
        <w:rPr>
          <w:rFonts w:ascii="Times-Roman" w:hAnsi="Times-Roman" w:cs="Times-Roman"/>
          <w:sz w:val="24"/>
          <w:szCs w:val="24"/>
        </w:rPr>
      </w:pPr>
    </w:p>
    <w:p w:rsidR="00753CFB" w:rsidRPr="0023040D" w:rsidRDefault="00753CFB" w:rsidP="005B0597">
      <w:pPr>
        <w:pStyle w:val="Zkladntext"/>
        <w:ind w:right="139" w:firstLine="708"/>
        <w:rPr>
          <w:sz w:val="24"/>
          <w:szCs w:val="24"/>
          <w:lang w:val="sk-SK"/>
        </w:rPr>
      </w:pPr>
      <w:r w:rsidRPr="005A7319">
        <w:rPr>
          <w:sz w:val="24"/>
          <w:szCs w:val="24"/>
          <w:lang w:val="sk-SK"/>
        </w:rPr>
        <w:t xml:space="preserve">Kapitálové výdavky, definované v návrhu rozpočtu, ktorých výška je rozpočtovaná </w:t>
      </w:r>
      <w:r w:rsidR="00C725E8" w:rsidRPr="005A7319">
        <w:rPr>
          <w:sz w:val="24"/>
          <w:szCs w:val="24"/>
          <w:lang w:val="sk-SK"/>
        </w:rPr>
        <w:t>vo</w:t>
      </w:r>
      <w:r w:rsidRPr="005A7319">
        <w:rPr>
          <w:sz w:val="24"/>
          <w:szCs w:val="24"/>
          <w:lang w:val="sk-SK"/>
        </w:rPr>
        <w:t xml:space="preserve"> </w:t>
      </w:r>
      <w:r w:rsidR="00C725E8" w:rsidRPr="005A7319">
        <w:rPr>
          <w:sz w:val="24"/>
          <w:szCs w:val="24"/>
          <w:lang w:val="sk-SK"/>
        </w:rPr>
        <w:t xml:space="preserve">výške </w:t>
      </w:r>
      <w:r w:rsidR="006F076B">
        <w:rPr>
          <w:sz w:val="24"/>
          <w:szCs w:val="24"/>
          <w:lang w:val="sk-SK"/>
        </w:rPr>
        <w:t>6</w:t>
      </w:r>
      <w:r w:rsidR="00EA3AE2">
        <w:rPr>
          <w:sz w:val="24"/>
          <w:szCs w:val="24"/>
          <w:lang w:val="sk-SK"/>
        </w:rPr>
        <w:t> </w:t>
      </w:r>
      <w:r w:rsidR="006F076B">
        <w:rPr>
          <w:sz w:val="24"/>
          <w:szCs w:val="24"/>
          <w:lang w:val="sk-SK"/>
        </w:rPr>
        <w:t>185</w:t>
      </w:r>
      <w:r w:rsidR="00EA3AE2">
        <w:rPr>
          <w:sz w:val="24"/>
          <w:szCs w:val="24"/>
          <w:lang w:val="sk-SK"/>
        </w:rPr>
        <w:t xml:space="preserve"> </w:t>
      </w:r>
      <w:r w:rsidR="006F076B">
        <w:rPr>
          <w:sz w:val="24"/>
          <w:szCs w:val="24"/>
          <w:lang w:val="sk-SK"/>
        </w:rPr>
        <w:t>293</w:t>
      </w:r>
      <w:r w:rsidR="002A564C" w:rsidRPr="005A7319">
        <w:rPr>
          <w:sz w:val="24"/>
          <w:szCs w:val="24"/>
          <w:lang w:val="sk-SK"/>
        </w:rPr>
        <w:t xml:space="preserve"> </w:t>
      </w:r>
      <w:r w:rsidRPr="005A7319">
        <w:rPr>
          <w:sz w:val="24"/>
          <w:szCs w:val="24"/>
          <w:lang w:val="sk-SK"/>
        </w:rPr>
        <w:t>EUR, obsahujú</w:t>
      </w:r>
      <w:r w:rsidR="00056A2C" w:rsidRPr="005A7319">
        <w:rPr>
          <w:sz w:val="24"/>
          <w:szCs w:val="24"/>
          <w:lang w:val="sk-SK"/>
        </w:rPr>
        <w:t xml:space="preserve"> investičné</w:t>
      </w:r>
      <w:r w:rsidRPr="005A7319">
        <w:rPr>
          <w:sz w:val="24"/>
          <w:szCs w:val="24"/>
          <w:lang w:val="sk-SK"/>
        </w:rPr>
        <w:t xml:space="preserve"> zámery a ciele na realizáciu v roku 20</w:t>
      </w:r>
      <w:r w:rsidR="00EA3AE2">
        <w:rPr>
          <w:sz w:val="24"/>
          <w:szCs w:val="24"/>
          <w:lang w:val="sk-SK"/>
        </w:rPr>
        <w:t>2</w:t>
      </w:r>
      <w:r w:rsidR="006F076B">
        <w:rPr>
          <w:sz w:val="24"/>
          <w:szCs w:val="24"/>
          <w:lang w:val="sk-SK"/>
        </w:rPr>
        <w:t>1</w:t>
      </w:r>
      <w:r w:rsidRPr="005A7319">
        <w:rPr>
          <w:sz w:val="24"/>
          <w:szCs w:val="24"/>
          <w:lang w:val="sk-SK"/>
        </w:rPr>
        <w:t>. V porovnaní s</w:t>
      </w:r>
      <w:r w:rsidR="00EA3AE2">
        <w:rPr>
          <w:sz w:val="24"/>
          <w:szCs w:val="24"/>
          <w:lang w:val="sk-SK"/>
        </w:rPr>
        <w:t> očakávanou skutočnosťou</w:t>
      </w:r>
      <w:r w:rsidRPr="005A7319">
        <w:rPr>
          <w:sz w:val="24"/>
          <w:szCs w:val="24"/>
          <w:lang w:val="sk-SK"/>
        </w:rPr>
        <w:t xml:space="preserve"> </w:t>
      </w:r>
      <w:r w:rsidR="0098079E">
        <w:rPr>
          <w:sz w:val="24"/>
          <w:szCs w:val="24"/>
          <w:lang w:val="sk-SK"/>
        </w:rPr>
        <w:t>v roku 20</w:t>
      </w:r>
      <w:r w:rsidR="006F076B">
        <w:rPr>
          <w:sz w:val="24"/>
          <w:szCs w:val="24"/>
          <w:lang w:val="sk-SK"/>
        </w:rPr>
        <w:t>20</w:t>
      </w:r>
      <w:r w:rsidR="0098079E">
        <w:rPr>
          <w:sz w:val="24"/>
          <w:szCs w:val="24"/>
          <w:lang w:val="sk-SK"/>
        </w:rPr>
        <w:t xml:space="preserve"> </w:t>
      </w:r>
      <w:r w:rsidR="00EA3AE2">
        <w:rPr>
          <w:sz w:val="24"/>
          <w:szCs w:val="24"/>
          <w:lang w:val="sk-SK"/>
        </w:rPr>
        <w:t>sa predmetné výdavky z</w:t>
      </w:r>
      <w:r w:rsidR="006F076B">
        <w:rPr>
          <w:sz w:val="24"/>
          <w:szCs w:val="24"/>
          <w:lang w:val="sk-SK"/>
        </w:rPr>
        <w:t>výšili</w:t>
      </w:r>
      <w:r w:rsidRPr="005A7319">
        <w:rPr>
          <w:sz w:val="24"/>
          <w:szCs w:val="24"/>
          <w:lang w:val="sk-SK"/>
        </w:rPr>
        <w:t xml:space="preserve"> </w:t>
      </w:r>
      <w:r w:rsidR="00056A2C" w:rsidRPr="005A7319">
        <w:rPr>
          <w:sz w:val="24"/>
          <w:szCs w:val="24"/>
          <w:lang w:val="sk-SK"/>
        </w:rPr>
        <w:t>o</w:t>
      </w:r>
      <w:r w:rsidR="00EA3AE2">
        <w:rPr>
          <w:sz w:val="24"/>
          <w:szCs w:val="24"/>
          <w:lang w:val="sk-SK"/>
        </w:rPr>
        <w:t> </w:t>
      </w:r>
      <w:r w:rsidR="00EA3AE2">
        <w:rPr>
          <w:sz w:val="24"/>
          <w:szCs w:val="24"/>
          <w:lang w:val="sk-SK"/>
        </w:rPr>
        <w:br/>
      </w:r>
      <w:r w:rsidR="006F076B">
        <w:rPr>
          <w:sz w:val="24"/>
          <w:szCs w:val="24"/>
          <w:lang w:val="sk-SK"/>
        </w:rPr>
        <w:t>2 522 478</w:t>
      </w:r>
      <w:r w:rsidR="00FD0985" w:rsidRPr="005A7319">
        <w:rPr>
          <w:sz w:val="24"/>
          <w:szCs w:val="24"/>
          <w:lang w:val="sk-SK"/>
        </w:rPr>
        <w:t xml:space="preserve"> </w:t>
      </w:r>
      <w:r w:rsidR="00056A2C" w:rsidRPr="005A7319">
        <w:rPr>
          <w:sz w:val="24"/>
          <w:szCs w:val="24"/>
          <w:lang w:val="sk-SK"/>
        </w:rPr>
        <w:t>EUR</w:t>
      </w:r>
      <w:r w:rsidR="00EA3AE2">
        <w:rPr>
          <w:sz w:val="24"/>
          <w:szCs w:val="24"/>
          <w:lang w:val="sk-SK"/>
        </w:rPr>
        <w:t>.</w:t>
      </w:r>
      <w:r w:rsidR="00056A2C" w:rsidRPr="005A7319">
        <w:rPr>
          <w:sz w:val="24"/>
          <w:szCs w:val="24"/>
          <w:lang w:val="sk-SK"/>
        </w:rPr>
        <w:t xml:space="preserve"> </w:t>
      </w:r>
      <w:r w:rsidR="00013CF3" w:rsidRPr="005A7319">
        <w:rPr>
          <w:sz w:val="24"/>
          <w:szCs w:val="24"/>
          <w:lang w:val="sk-SK"/>
        </w:rPr>
        <w:t>Rozpočtované kapitálové výdavky sa viažu v najväčšej miere na výdavky k zlepšeniu technického stavu budov</w:t>
      </w:r>
      <w:r w:rsidR="006F076B">
        <w:rPr>
          <w:sz w:val="24"/>
          <w:szCs w:val="24"/>
          <w:lang w:val="sk-SK"/>
        </w:rPr>
        <w:t xml:space="preserve"> – rekonštrukcie objektov základných a materských škôl mestskej časti, rozšírenie kapacít materských škôl, technické vybavenie školských kuchýň,</w:t>
      </w:r>
      <w:r w:rsidR="004B7407">
        <w:rPr>
          <w:sz w:val="24"/>
          <w:szCs w:val="24"/>
          <w:lang w:val="sk-SK"/>
        </w:rPr>
        <w:t xml:space="preserve"> </w:t>
      </w:r>
      <w:r w:rsidR="00185DF3">
        <w:rPr>
          <w:sz w:val="24"/>
          <w:szCs w:val="24"/>
          <w:lang w:val="sk-SK"/>
        </w:rPr>
        <w:t>spolu v Programe 5 Vzdelávanie -  2 600 054 EUR</w:t>
      </w:r>
      <w:r w:rsidR="00AB6788">
        <w:rPr>
          <w:sz w:val="24"/>
          <w:szCs w:val="24"/>
          <w:lang w:val="sk-SK"/>
        </w:rPr>
        <w:t xml:space="preserve">. </w:t>
      </w:r>
      <w:r w:rsidR="00AB6788" w:rsidRPr="0023040D">
        <w:rPr>
          <w:sz w:val="24"/>
          <w:szCs w:val="24"/>
          <w:lang w:val="sk-SK"/>
        </w:rPr>
        <w:t>Kladne sa dá hodnotiť</w:t>
      </w:r>
      <w:r w:rsidR="006F076B" w:rsidRPr="0023040D">
        <w:rPr>
          <w:sz w:val="24"/>
          <w:szCs w:val="24"/>
          <w:lang w:val="sk-SK"/>
        </w:rPr>
        <w:t xml:space="preserve"> </w:t>
      </w:r>
      <w:r w:rsidR="00AB6788" w:rsidRPr="0023040D">
        <w:rPr>
          <w:sz w:val="24"/>
          <w:szCs w:val="24"/>
          <w:lang w:val="sk-SK"/>
        </w:rPr>
        <w:t xml:space="preserve">položka </w:t>
      </w:r>
      <w:r w:rsidR="006F076B" w:rsidRPr="0023040D">
        <w:rPr>
          <w:sz w:val="24"/>
          <w:szCs w:val="24"/>
          <w:lang w:val="sk-SK"/>
        </w:rPr>
        <w:t>zateplenie Domu kultúry Zrkadlový háj</w:t>
      </w:r>
      <w:r w:rsidR="00516DD0" w:rsidRPr="0023040D">
        <w:rPr>
          <w:sz w:val="24"/>
          <w:szCs w:val="24"/>
          <w:lang w:val="sk-SK"/>
        </w:rPr>
        <w:t xml:space="preserve"> </w:t>
      </w:r>
      <w:r w:rsidR="00AB6788" w:rsidRPr="0023040D">
        <w:rPr>
          <w:sz w:val="24"/>
          <w:szCs w:val="24"/>
          <w:lang w:val="sk-SK"/>
        </w:rPr>
        <w:t>vo výške</w:t>
      </w:r>
      <w:r w:rsidR="00516DD0" w:rsidRPr="0023040D">
        <w:rPr>
          <w:sz w:val="24"/>
          <w:szCs w:val="24"/>
          <w:lang w:val="sk-SK"/>
        </w:rPr>
        <w:t xml:space="preserve"> 210 000 EUR</w:t>
      </w:r>
      <w:r w:rsidR="0076702B" w:rsidRPr="0023040D">
        <w:rPr>
          <w:sz w:val="24"/>
          <w:szCs w:val="24"/>
          <w:lang w:val="sk-SK"/>
        </w:rPr>
        <w:t>.</w:t>
      </w:r>
      <w:r w:rsidR="000E709A" w:rsidRPr="0023040D">
        <w:rPr>
          <w:sz w:val="24"/>
          <w:szCs w:val="24"/>
          <w:lang w:val="sk-SK"/>
        </w:rPr>
        <w:t xml:space="preserve"> </w:t>
      </w:r>
      <w:r w:rsidR="00AB6788" w:rsidRPr="0023040D">
        <w:rPr>
          <w:sz w:val="24"/>
          <w:szCs w:val="24"/>
          <w:lang w:val="sk-SK"/>
        </w:rPr>
        <w:t xml:space="preserve">Návrh rozpočtu obsahuje aj </w:t>
      </w:r>
      <w:r w:rsidR="000E709A" w:rsidRPr="0023040D">
        <w:rPr>
          <w:sz w:val="24"/>
          <w:szCs w:val="24"/>
          <w:lang w:val="sk-SK"/>
        </w:rPr>
        <w:t>rekonštrukci</w:t>
      </w:r>
      <w:r w:rsidR="00AB6788" w:rsidRPr="0023040D">
        <w:rPr>
          <w:sz w:val="24"/>
          <w:szCs w:val="24"/>
          <w:lang w:val="sk-SK"/>
        </w:rPr>
        <w:t>u</w:t>
      </w:r>
      <w:r w:rsidR="000E709A" w:rsidRPr="0023040D">
        <w:rPr>
          <w:sz w:val="24"/>
          <w:szCs w:val="24"/>
          <w:lang w:val="sk-SK"/>
        </w:rPr>
        <w:t xml:space="preserve"> pobočky miestnej knižnice na Vavilovovej ulici</w:t>
      </w:r>
      <w:r w:rsidR="00185DF3" w:rsidRPr="0023040D">
        <w:rPr>
          <w:sz w:val="24"/>
          <w:szCs w:val="24"/>
          <w:lang w:val="sk-SK"/>
        </w:rPr>
        <w:t xml:space="preserve"> – 25 000 EUR</w:t>
      </w:r>
      <w:r w:rsidR="000E709A" w:rsidRPr="0023040D">
        <w:rPr>
          <w:sz w:val="24"/>
          <w:szCs w:val="24"/>
          <w:lang w:val="sk-SK"/>
        </w:rPr>
        <w:t xml:space="preserve">, </w:t>
      </w:r>
      <w:r w:rsidR="00185DF3" w:rsidRPr="0023040D">
        <w:rPr>
          <w:sz w:val="24"/>
          <w:szCs w:val="24"/>
          <w:lang w:val="sk-SK"/>
        </w:rPr>
        <w:t xml:space="preserve"> </w:t>
      </w:r>
      <w:r w:rsidR="000E709A" w:rsidRPr="0023040D">
        <w:rPr>
          <w:sz w:val="24"/>
          <w:szCs w:val="24"/>
          <w:lang w:val="sk-SK"/>
        </w:rPr>
        <w:t>vybudovanie športovej infraštruktúry</w:t>
      </w:r>
      <w:r w:rsidR="00516DD0" w:rsidRPr="0023040D">
        <w:rPr>
          <w:sz w:val="24"/>
          <w:szCs w:val="24"/>
          <w:lang w:val="sk-SK"/>
        </w:rPr>
        <w:t xml:space="preserve"> – 215 000 EUR</w:t>
      </w:r>
      <w:r w:rsidR="000E709A" w:rsidRPr="0023040D">
        <w:rPr>
          <w:sz w:val="24"/>
          <w:szCs w:val="24"/>
          <w:lang w:val="sk-SK"/>
        </w:rPr>
        <w:t>, obnov</w:t>
      </w:r>
      <w:r w:rsidR="0076702B" w:rsidRPr="0023040D">
        <w:rPr>
          <w:sz w:val="24"/>
          <w:szCs w:val="24"/>
          <w:lang w:val="sk-SK"/>
        </w:rPr>
        <w:t>u</w:t>
      </w:r>
      <w:r w:rsidR="000E709A" w:rsidRPr="0023040D">
        <w:rPr>
          <w:sz w:val="24"/>
          <w:szCs w:val="24"/>
          <w:lang w:val="sk-SK"/>
        </w:rPr>
        <w:t xml:space="preserve"> komunikácií</w:t>
      </w:r>
      <w:r w:rsidR="00185DF3" w:rsidRPr="0023040D">
        <w:rPr>
          <w:sz w:val="24"/>
          <w:szCs w:val="24"/>
          <w:lang w:val="sk-SK"/>
        </w:rPr>
        <w:t xml:space="preserve"> – 200 000 EUR</w:t>
      </w:r>
      <w:r w:rsidR="000E709A" w:rsidRPr="0023040D">
        <w:rPr>
          <w:sz w:val="24"/>
          <w:szCs w:val="24"/>
          <w:lang w:val="sk-SK"/>
        </w:rPr>
        <w:t>, výstavb</w:t>
      </w:r>
      <w:r w:rsidR="0076702B" w:rsidRPr="0023040D">
        <w:rPr>
          <w:sz w:val="24"/>
          <w:szCs w:val="24"/>
          <w:lang w:val="sk-SK"/>
        </w:rPr>
        <w:t>u</w:t>
      </w:r>
      <w:r w:rsidR="000E709A" w:rsidRPr="0023040D">
        <w:rPr>
          <w:sz w:val="24"/>
          <w:szCs w:val="24"/>
          <w:lang w:val="sk-SK"/>
        </w:rPr>
        <w:t xml:space="preserve"> chodníkov a</w:t>
      </w:r>
      <w:r w:rsidR="00185DF3" w:rsidRPr="0023040D">
        <w:rPr>
          <w:sz w:val="24"/>
          <w:szCs w:val="24"/>
          <w:lang w:val="sk-SK"/>
        </w:rPr>
        <w:t> </w:t>
      </w:r>
      <w:r w:rsidR="000E709A" w:rsidRPr="0023040D">
        <w:rPr>
          <w:sz w:val="24"/>
          <w:szCs w:val="24"/>
          <w:lang w:val="sk-SK"/>
        </w:rPr>
        <w:t>cyklotrás</w:t>
      </w:r>
      <w:r w:rsidR="00185DF3" w:rsidRPr="0023040D">
        <w:rPr>
          <w:sz w:val="24"/>
          <w:szCs w:val="24"/>
          <w:lang w:val="sk-SK"/>
        </w:rPr>
        <w:t xml:space="preserve"> – 260 000 EUR</w:t>
      </w:r>
      <w:r w:rsidR="000E709A" w:rsidRPr="0023040D">
        <w:rPr>
          <w:sz w:val="24"/>
          <w:szCs w:val="24"/>
          <w:lang w:val="sk-SK"/>
        </w:rPr>
        <w:t>, nákup strojov a zariadení na údržbu a zabezpečenie čistoty verejných priestranstiev</w:t>
      </w:r>
      <w:r w:rsidR="00516DD0" w:rsidRPr="0023040D">
        <w:rPr>
          <w:sz w:val="24"/>
          <w:szCs w:val="24"/>
          <w:lang w:val="sk-SK"/>
        </w:rPr>
        <w:t xml:space="preserve"> – 160 000 EUR</w:t>
      </w:r>
      <w:r w:rsidR="000E709A" w:rsidRPr="0023040D">
        <w:rPr>
          <w:sz w:val="24"/>
          <w:szCs w:val="24"/>
          <w:lang w:val="sk-SK"/>
        </w:rPr>
        <w:t>, na obnovu a údržbu majetku mestskej časti vrátane nákupu objektu ZSE</w:t>
      </w:r>
      <w:r w:rsidR="00516DD0" w:rsidRPr="0023040D">
        <w:rPr>
          <w:sz w:val="24"/>
          <w:szCs w:val="24"/>
          <w:lang w:val="sk-SK"/>
        </w:rPr>
        <w:t xml:space="preserve"> – 1 686 000 EUR, urbanistické štúdie a územné plány zón – 72 239 EUR.</w:t>
      </w:r>
    </w:p>
    <w:p w:rsidR="0090401E" w:rsidRPr="0023040D" w:rsidRDefault="0090401E" w:rsidP="005B0597">
      <w:pPr>
        <w:pStyle w:val="Zkladntext"/>
        <w:ind w:right="139" w:firstLine="708"/>
        <w:rPr>
          <w:sz w:val="24"/>
          <w:szCs w:val="24"/>
          <w:lang w:val="sk-SK"/>
        </w:rPr>
      </w:pPr>
    </w:p>
    <w:p w:rsidR="003E18F5" w:rsidRDefault="009653FB" w:rsidP="003E18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25CC" w:rsidRPr="005A731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77BB0" w:rsidRPr="005A7319">
        <w:rPr>
          <w:rFonts w:ascii="Times New Roman" w:hAnsi="Times New Roman" w:cs="Times New Roman"/>
          <w:sz w:val="24"/>
          <w:szCs w:val="24"/>
        </w:rPr>
        <w:t xml:space="preserve">Výdavkové finančné operácie </w:t>
      </w:r>
      <w:r w:rsidR="00BC75B2">
        <w:rPr>
          <w:rFonts w:ascii="Times New Roman" w:hAnsi="Times New Roman" w:cs="Times New Roman"/>
          <w:sz w:val="24"/>
          <w:szCs w:val="24"/>
        </w:rPr>
        <w:t xml:space="preserve"> </w:t>
      </w:r>
      <w:r w:rsidR="00877BB0" w:rsidRPr="005A7319">
        <w:rPr>
          <w:rFonts w:ascii="Times New Roman" w:hAnsi="Times New Roman" w:cs="Times New Roman"/>
          <w:sz w:val="24"/>
          <w:szCs w:val="24"/>
        </w:rPr>
        <w:t>sú pre rok 20</w:t>
      </w:r>
      <w:r w:rsidR="00954258">
        <w:rPr>
          <w:rFonts w:ascii="Times New Roman" w:hAnsi="Times New Roman" w:cs="Times New Roman"/>
          <w:sz w:val="24"/>
          <w:szCs w:val="24"/>
        </w:rPr>
        <w:t>2</w:t>
      </w:r>
      <w:r w:rsidR="00BC75B2">
        <w:rPr>
          <w:rFonts w:ascii="Times New Roman" w:hAnsi="Times New Roman" w:cs="Times New Roman"/>
          <w:sz w:val="24"/>
          <w:szCs w:val="24"/>
        </w:rPr>
        <w:t>1</w:t>
      </w:r>
      <w:r w:rsidR="00877BB0" w:rsidRPr="005A7319">
        <w:rPr>
          <w:rFonts w:ascii="Times New Roman" w:hAnsi="Times New Roman" w:cs="Times New Roman"/>
          <w:sz w:val="24"/>
          <w:szCs w:val="24"/>
        </w:rPr>
        <w:t xml:space="preserve"> rozpočtované vo výške </w:t>
      </w:r>
      <w:r w:rsidR="00954258">
        <w:rPr>
          <w:rFonts w:ascii="Times New Roman" w:hAnsi="Times New Roman" w:cs="Times New Roman"/>
          <w:sz w:val="24"/>
          <w:szCs w:val="24"/>
        </w:rPr>
        <w:t>1 </w:t>
      </w:r>
      <w:r w:rsidR="00BC75B2">
        <w:rPr>
          <w:rFonts w:ascii="Times New Roman" w:hAnsi="Times New Roman" w:cs="Times New Roman"/>
          <w:sz w:val="24"/>
          <w:szCs w:val="24"/>
        </w:rPr>
        <w:t>382</w:t>
      </w:r>
      <w:r w:rsidR="00954258">
        <w:rPr>
          <w:rFonts w:ascii="Times New Roman" w:hAnsi="Times New Roman" w:cs="Times New Roman"/>
          <w:sz w:val="24"/>
          <w:szCs w:val="24"/>
        </w:rPr>
        <w:t xml:space="preserve"> </w:t>
      </w:r>
      <w:r w:rsidR="00BC75B2">
        <w:rPr>
          <w:rFonts w:ascii="Times New Roman" w:hAnsi="Times New Roman" w:cs="Times New Roman"/>
          <w:sz w:val="24"/>
          <w:szCs w:val="24"/>
        </w:rPr>
        <w:t>868</w:t>
      </w:r>
      <w:r w:rsidR="00877BB0" w:rsidRPr="005A7319">
        <w:rPr>
          <w:rFonts w:ascii="Times New Roman" w:hAnsi="Times New Roman" w:cs="Times New Roman"/>
          <w:sz w:val="24"/>
          <w:szCs w:val="24"/>
        </w:rPr>
        <w:t xml:space="preserve"> EUR </w:t>
      </w:r>
      <w:r w:rsidR="00542703">
        <w:rPr>
          <w:rFonts w:ascii="Times New Roman" w:hAnsi="Times New Roman" w:cs="Times New Roman"/>
          <w:sz w:val="24"/>
          <w:szCs w:val="24"/>
        </w:rPr>
        <w:t>a predstavujú splátky istiny prijatých úverov mestskej časti</w:t>
      </w:r>
      <w:r w:rsidR="00BC75B2">
        <w:rPr>
          <w:rFonts w:ascii="Times New Roman" w:hAnsi="Times New Roman" w:cs="Times New Roman"/>
          <w:sz w:val="24"/>
          <w:szCs w:val="24"/>
        </w:rPr>
        <w:t>, splátky realizovaných modernizácií osvetlení v materských a základných školách a splátky finančného prenájmu za motorové vozidlá a strojné zariadenia.</w:t>
      </w:r>
      <w:r w:rsidR="00877BB0" w:rsidRPr="005A7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F5" w:rsidRDefault="003E18F5" w:rsidP="003E18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18F5" w:rsidRPr="003E18F5" w:rsidRDefault="008C7A5F" w:rsidP="003E18F5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8F5">
        <w:rPr>
          <w:rFonts w:ascii="Times New Roman" w:hAnsi="Times New Roman" w:cs="Times New Roman"/>
          <w:sz w:val="24"/>
          <w:szCs w:val="24"/>
        </w:rPr>
        <w:t>Návrh rozpočtu je spracovaný v súlade s Príručkou pre zostavenie návrhu rozpočtu verejnej správy na roky 20</w:t>
      </w:r>
      <w:r w:rsidR="003402B5" w:rsidRPr="003E18F5">
        <w:rPr>
          <w:rFonts w:ascii="Times New Roman" w:hAnsi="Times New Roman" w:cs="Times New Roman"/>
          <w:sz w:val="24"/>
          <w:szCs w:val="24"/>
        </w:rPr>
        <w:t>2</w:t>
      </w:r>
      <w:r w:rsidR="00BC75B2">
        <w:rPr>
          <w:rFonts w:ascii="Times New Roman" w:hAnsi="Times New Roman" w:cs="Times New Roman"/>
          <w:sz w:val="24"/>
          <w:szCs w:val="24"/>
        </w:rPr>
        <w:t>1</w:t>
      </w:r>
      <w:r w:rsidRPr="003E18F5">
        <w:rPr>
          <w:rFonts w:ascii="Times New Roman" w:hAnsi="Times New Roman" w:cs="Times New Roman"/>
          <w:sz w:val="24"/>
          <w:szCs w:val="24"/>
        </w:rPr>
        <w:t>–202</w:t>
      </w:r>
      <w:r w:rsidR="00BC75B2">
        <w:rPr>
          <w:rFonts w:ascii="Times New Roman" w:hAnsi="Times New Roman" w:cs="Times New Roman"/>
          <w:sz w:val="24"/>
          <w:szCs w:val="24"/>
        </w:rPr>
        <w:t>3</w:t>
      </w:r>
      <w:r w:rsidRPr="003E18F5">
        <w:rPr>
          <w:rFonts w:ascii="Times New Roman" w:hAnsi="Times New Roman" w:cs="Times New Roman"/>
          <w:sz w:val="24"/>
          <w:szCs w:val="24"/>
        </w:rPr>
        <w:t xml:space="preserve"> vydanou Ministerstvom financií Slovenskej republiky vo Finančnom spravodajcovi pod č. MF/</w:t>
      </w:r>
      <w:r w:rsidR="003402B5" w:rsidRPr="003E18F5">
        <w:rPr>
          <w:rFonts w:ascii="Times New Roman" w:hAnsi="Times New Roman" w:cs="Times New Roman"/>
          <w:sz w:val="24"/>
          <w:szCs w:val="24"/>
        </w:rPr>
        <w:t>009</w:t>
      </w:r>
      <w:r w:rsidR="00BC75B2">
        <w:rPr>
          <w:rFonts w:ascii="Times New Roman" w:hAnsi="Times New Roman" w:cs="Times New Roman"/>
          <w:sz w:val="24"/>
          <w:szCs w:val="24"/>
        </w:rPr>
        <w:t>077</w:t>
      </w:r>
      <w:r w:rsidRPr="003E18F5">
        <w:rPr>
          <w:rFonts w:ascii="Times New Roman" w:hAnsi="Times New Roman" w:cs="Times New Roman"/>
          <w:sz w:val="24"/>
          <w:szCs w:val="24"/>
        </w:rPr>
        <w:t>/20</w:t>
      </w:r>
      <w:r w:rsidR="00BC75B2">
        <w:rPr>
          <w:rFonts w:ascii="Times New Roman" w:hAnsi="Times New Roman" w:cs="Times New Roman"/>
          <w:sz w:val="24"/>
          <w:szCs w:val="24"/>
        </w:rPr>
        <w:t>20</w:t>
      </w:r>
      <w:r w:rsidRPr="003E18F5">
        <w:rPr>
          <w:rFonts w:ascii="Times New Roman" w:hAnsi="Times New Roman" w:cs="Times New Roman"/>
          <w:sz w:val="24"/>
          <w:szCs w:val="24"/>
        </w:rPr>
        <w:t xml:space="preserve">-411 </w:t>
      </w:r>
      <w:r w:rsidRPr="003E18F5">
        <w:rPr>
          <w:rFonts w:ascii="Times New Roman" w:hAnsi="Times New Roman" w:cs="Times New Roman"/>
          <w:bCs/>
          <w:sz w:val="24"/>
          <w:szCs w:val="24"/>
        </w:rPr>
        <w:t>v</w:t>
      </w:r>
      <w:r w:rsidR="003402B5" w:rsidRPr="003E18F5">
        <w:rPr>
          <w:rFonts w:ascii="Times New Roman" w:hAnsi="Times New Roman" w:cs="Times New Roman"/>
          <w:bCs/>
          <w:sz w:val="24"/>
          <w:szCs w:val="24"/>
        </w:rPr>
        <w:t xml:space="preserve"> platnom </w:t>
      </w:r>
      <w:r w:rsidRPr="003E18F5">
        <w:rPr>
          <w:rFonts w:ascii="Times New Roman" w:hAnsi="Times New Roman" w:cs="Times New Roman"/>
          <w:bCs/>
          <w:sz w:val="24"/>
          <w:szCs w:val="24"/>
        </w:rPr>
        <w:t>znení</w:t>
      </w:r>
      <w:r w:rsidR="003E18F5">
        <w:rPr>
          <w:rFonts w:ascii="Times New Roman" w:hAnsi="Times New Roman" w:cs="Times New Roman"/>
          <w:bCs/>
          <w:sz w:val="24"/>
          <w:szCs w:val="24"/>
        </w:rPr>
        <w:t>.</w:t>
      </w:r>
      <w:r w:rsidRPr="003E18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18F5" w:rsidRDefault="003E18F5" w:rsidP="003E18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18F5" w:rsidRPr="003E18F5" w:rsidRDefault="00753CFB" w:rsidP="003E18F5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F5">
        <w:rPr>
          <w:rFonts w:ascii="Times New Roman" w:hAnsi="Times New Roman" w:cs="Times New Roman"/>
          <w:sz w:val="24"/>
          <w:szCs w:val="24"/>
        </w:rPr>
        <w:t xml:space="preserve">Návrh rozpočtu v súlade s ustanovením § 4 ods. 5 zákona o rozpočtových pravidlách územnej samosprávy obsahuje aj zámery a ciele, ktoré bude </w:t>
      </w:r>
      <w:r w:rsidR="002A564C" w:rsidRPr="003E18F5">
        <w:rPr>
          <w:rFonts w:ascii="Times New Roman" w:hAnsi="Times New Roman" w:cs="Times New Roman"/>
          <w:sz w:val="24"/>
          <w:szCs w:val="24"/>
        </w:rPr>
        <w:t>mestská časť</w:t>
      </w:r>
      <w:r w:rsidRPr="003E18F5">
        <w:rPr>
          <w:rFonts w:ascii="Times New Roman" w:hAnsi="Times New Roman" w:cs="Times New Roman"/>
          <w:sz w:val="24"/>
          <w:szCs w:val="24"/>
        </w:rPr>
        <w:t xml:space="preserve"> realizovať </w:t>
      </w:r>
      <w:r w:rsidR="005125CC" w:rsidRPr="003E18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18F5">
        <w:rPr>
          <w:rFonts w:ascii="Times New Roman" w:hAnsi="Times New Roman" w:cs="Times New Roman"/>
          <w:sz w:val="24"/>
          <w:szCs w:val="24"/>
        </w:rPr>
        <w:t xml:space="preserve">z výdavkov rozpočtu obce. </w:t>
      </w:r>
    </w:p>
    <w:p w:rsidR="003E18F5" w:rsidRDefault="003E18F5" w:rsidP="003E18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18F5" w:rsidRPr="00C638CE" w:rsidRDefault="00753CFB" w:rsidP="00393AB3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CE">
        <w:rPr>
          <w:rFonts w:ascii="Times New Roman" w:hAnsi="Times New Roman" w:cs="Times New Roman"/>
          <w:sz w:val="24"/>
          <w:szCs w:val="24"/>
        </w:rPr>
        <w:t>Návrh rozpočtu spĺňa v zmysle ustanovenia § 9 ods. 1 ústavného zákona č. 493/2011 Z. z. o rozpočtovej zodpovednosti (ďalej len ústavný zákon) podmienku spracovania návrhu rozpočtu s ohľadom na schválené predchádzajúce dva rozpočtové roky. Zároveň súčasťou návrhu rozpočtu je aj schválený rozpočet na rok 20</w:t>
      </w:r>
      <w:r w:rsidR="00843218">
        <w:rPr>
          <w:rFonts w:ascii="Times New Roman" w:hAnsi="Times New Roman" w:cs="Times New Roman"/>
          <w:sz w:val="24"/>
          <w:szCs w:val="24"/>
        </w:rPr>
        <w:t>20</w:t>
      </w:r>
      <w:r w:rsidRPr="00C638CE">
        <w:rPr>
          <w:rFonts w:ascii="Times New Roman" w:hAnsi="Times New Roman" w:cs="Times New Roman"/>
          <w:sz w:val="24"/>
          <w:szCs w:val="24"/>
        </w:rPr>
        <w:t xml:space="preserve"> a údaje </w:t>
      </w:r>
      <w:r w:rsidR="005125CC" w:rsidRPr="00C638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38CE">
        <w:rPr>
          <w:rFonts w:ascii="Times New Roman" w:hAnsi="Times New Roman" w:cs="Times New Roman"/>
          <w:sz w:val="24"/>
          <w:szCs w:val="24"/>
        </w:rPr>
        <w:t>o očakávanej skutočnosti roka 20</w:t>
      </w:r>
      <w:r w:rsidR="00843218">
        <w:rPr>
          <w:rFonts w:ascii="Times New Roman" w:hAnsi="Times New Roman" w:cs="Times New Roman"/>
          <w:sz w:val="24"/>
          <w:szCs w:val="24"/>
        </w:rPr>
        <w:t>20</w:t>
      </w:r>
      <w:r w:rsidRPr="00C638CE">
        <w:rPr>
          <w:rFonts w:ascii="Times New Roman" w:hAnsi="Times New Roman" w:cs="Times New Roman"/>
          <w:sz w:val="24"/>
          <w:szCs w:val="24"/>
        </w:rPr>
        <w:t>, čo je v súlade s citovaným ústavným zákonom.</w:t>
      </w:r>
    </w:p>
    <w:p w:rsidR="003E18F5" w:rsidRPr="003E18F5" w:rsidRDefault="00753CFB" w:rsidP="003E18F5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8F5">
        <w:rPr>
          <w:rFonts w:ascii="Times New Roman" w:hAnsi="Times New Roman" w:cs="Times New Roman"/>
          <w:sz w:val="24"/>
          <w:szCs w:val="24"/>
        </w:rPr>
        <w:t xml:space="preserve">Návrh rozpočtu bol zverejnený v súlade s ustanovením § 9 ods. 2 zákona č. 369/1990 Zb. o obecnom zriadení v znení neskorších predpisov dňa </w:t>
      </w:r>
      <w:r w:rsidR="00843218">
        <w:rPr>
          <w:rFonts w:ascii="Times New Roman" w:hAnsi="Times New Roman" w:cs="Times New Roman"/>
          <w:sz w:val="24"/>
          <w:szCs w:val="24"/>
        </w:rPr>
        <w:t>30</w:t>
      </w:r>
      <w:r w:rsidRPr="00A97CEC">
        <w:rPr>
          <w:rFonts w:ascii="Times New Roman" w:hAnsi="Times New Roman" w:cs="Times New Roman"/>
          <w:sz w:val="24"/>
          <w:szCs w:val="24"/>
        </w:rPr>
        <w:t xml:space="preserve">. </w:t>
      </w:r>
      <w:r w:rsidR="00A97CEC" w:rsidRPr="00A97CEC">
        <w:rPr>
          <w:rFonts w:ascii="Times New Roman" w:hAnsi="Times New Roman" w:cs="Times New Roman"/>
          <w:sz w:val="24"/>
          <w:szCs w:val="24"/>
        </w:rPr>
        <w:t>novembra</w:t>
      </w:r>
      <w:r w:rsidRPr="00A97CEC">
        <w:rPr>
          <w:rFonts w:ascii="Times New Roman" w:hAnsi="Times New Roman" w:cs="Times New Roman"/>
          <w:sz w:val="24"/>
          <w:szCs w:val="24"/>
        </w:rPr>
        <w:t xml:space="preserve"> 20</w:t>
      </w:r>
      <w:r w:rsidR="00843218">
        <w:rPr>
          <w:rFonts w:ascii="Times New Roman" w:hAnsi="Times New Roman" w:cs="Times New Roman"/>
          <w:sz w:val="24"/>
          <w:szCs w:val="24"/>
        </w:rPr>
        <w:t>20</w:t>
      </w:r>
      <w:r w:rsidRPr="003E18F5">
        <w:rPr>
          <w:rFonts w:ascii="Times New Roman" w:hAnsi="Times New Roman" w:cs="Times New Roman"/>
          <w:sz w:val="24"/>
          <w:szCs w:val="24"/>
        </w:rPr>
        <w:t xml:space="preserve"> v zákonnej lehote 15 dní pred </w:t>
      </w:r>
      <w:r w:rsidR="005460AF" w:rsidRPr="003E18F5">
        <w:rPr>
          <w:rFonts w:ascii="Times New Roman" w:hAnsi="Times New Roman" w:cs="Times New Roman"/>
          <w:sz w:val="24"/>
          <w:szCs w:val="24"/>
        </w:rPr>
        <w:t xml:space="preserve">rokovaním </w:t>
      </w:r>
      <w:r w:rsidRPr="003E18F5">
        <w:rPr>
          <w:rFonts w:ascii="Times New Roman" w:hAnsi="Times New Roman" w:cs="Times New Roman"/>
          <w:sz w:val="24"/>
          <w:szCs w:val="24"/>
        </w:rPr>
        <w:t>v miestnom zastupiteľstve. Týmto konaním je zabezpečené, že občania sa môžu s návrhom rozpočtu pre rok 20</w:t>
      </w:r>
      <w:r w:rsidR="003E18F5">
        <w:rPr>
          <w:rFonts w:ascii="Times New Roman" w:hAnsi="Times New Roman" w:cs="Times New Roman"/>
          <w:sz w:val="24"/>
          <w:szCs w:val="24"/>
        </w:rPr>
        <w:t>2</w:t>
      </w:r>
      <w:r w:rsidR="00843218">
        <w:rPr>
          <w:rFonts w:ascii="Times New Roman" w:hAnsi="Times New Roman" w:cs="Times New Roman"/>
          <w:sz w:val="24"/>
          <w:szCs w:val="24"/>
        </w:rPr>
        <w:t>1</w:t>
      </w:r>
      <w:r w:rsidRPr="003E18F5">
        <w:rPr>
          <w:rFonts w:ascii="Times New Roman" w:hAnsi="Times New Roman" w:cs="Times New Roman"/>
          <w:sz w:val="24"/>
          <w:szCs w:val="24"/>
        </w:rPr>
        <w:t xml:space="preserve"> ako aj s informatívnymi návrhmi </w:t>
      </w:r>
      <w:r w:rsidR="005460AF" w:rsidRPr="003E18F5">
        <w:rPr>
          <w:rFonts w:ascii="Times New Roman" w:hAnsi="Times New Roman" w:cs="Times New Roman"/>
          <w:sz w:val="24"/>
          <w:szCs w:val="24"/>
        </w:rPr>
        <w:t xml:space="preserve"> </w:t>
      </w:r>
      <w:r w:rsidRPr="003E18F5">
        <w:rPr>
          <w:rFonts w:ascii="Times New Roman" w:hAnsi="Times New Roman" w:cs="Times New Roman"/>
          <w:sz w:val="24"/>
          <w:szCs w:val="24"/>
        </w:rPr>
        <w:t>rozpočtov pre roky 20</w:t>
      </w:r>
      <w:r w:rsidR="005460AF" w:rsidRPr="003E18F5">
        <w:rPr>
          <w:rFonts w:ascii="Times New Roman" w:hAnsi="Times New Roman" w:cs="Times New Roman"/>
          <w:sz w:val="24"/>
          <w:szCs w:val="24"/>
        </w:rPr>
        <w:t>2</w:t>
      </w:r>
      <w:r w:rsidR="00843218">
        <w:rPr>
          <w:rFonts w:ascii="Times New Roman" w:hAnsi="Times New Roman" w:cs="Times New Roman"/>
          <w:sz w:val="24"/>
          <w:szCs w:val="24"/>
        </w:rPr>
        <w:t>2</w:t>
      </w:r>
      <w:r w:rsidRPr="003E18F5">
        <w:rPr>
          <w:rFonts w:ascii="Times New Roman" w:hAnsi="Times New Roman" w:cs="Times New Roman"/>
          <w:sz w:val="24"/>
          <w:szCs w:val="24"/>
        </w:rPr>
        <w:t xml:space="preserve"> a 20</w:t>
      </w:r>
      <w:r w:rsidR="005460AF" w:rsidRPr="003E18F5">
        <w:rPr>
          <w:rFonts w:ascii="Times New Roman" w:hAnsi="Times New Roman" w:cs="Times New Roman"/>
          <w:sz w:val="24"/>
          <w:szCs w:val="24"/>
        </w:rPr>
        <w:t>2</w:t>
      </w:r>
      <w:r w:rsidR="00843218">
        <w:rPr>
          <w:rFonts w:ascii="Times New Roman" w:hAnsi="Times New Roman" w:cs="Times New Roman"/>
          <w:sz w:val="24"/>
          <w:szCs w:val="24"/>
        </w:rPr>
        <w:t>3</w:t>
      </w:r>
      <w:r w:rsidRPr="003E18F5">
        <w:rPr>
          <w:rFonts w:ascii="Times New Roman" w:hAnsi="Times New Roman" w:cs="Times New Roman"/>
          <w:sz w:val="24"/>
          <w:szCs w:val="24"/>
        </w:rPr>
        <w:t xml:space="preserve"> podrobne oboznámiť.</w:t>
      </w:r>
    </w:p>
    <w:p w:rsidR="003E18F5" w:rsidRDefault="003E18F5" w:rsidP="003E18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40A05" w:rsidRDefault="00A176A6" w:rsidP="00393C2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B45" w:rsidRPr="008057F4">
        <w:rPr>
          <w:rFonts w:ascii="Times New Roman" w:hAnsi="Times New Roman" w:cs="Times New Roman"/>
          <w:sz w:val="24"/>
          <w:szCs w:val="24"/>
        </w:rPr>
        <w:t>Navrhovaný rozpočet na rok 202</w:t>
      </w:r>
      <w:r w:rsidR="00843218">
        <w:rPr>
          <w:rFonts w:ascii="Times New Roman" w:hAnsi="Times New Roman" w:cs="Times New Roman"/>
          <w:sz w:val="24"/>
          <w:szCs w:val="24"/>
        </w:rPr>
        <w:t>1</w:t>
      </w:r>
      <w:r w:rsidR="00421B45" w:rsidRPr="008057F4">
        <w:rPr>
          <w:rFonts w:ascii="Times New Roman" w:hAnsi="Times New Roman" w:cs="Times New Roman"/>
          <w:sz w:val="24"/>
          <w:szCs w:val="24"/>
        </w:rPr>
        <w:t xml:space="preserve"> je oproti očakávanej skutočnosti za rok 20</w:t>
      </w:r>
      <w:r w:rsidR="00843218">
        <w:rPr>
          <w:rFonts w:ascii="Times New Roman" w:hAnsi="Times New Roman" w:cs="Times New Roman"/>
          <w:sz w:val="24"/>
          <w:szCs w:val="24"/>
        </w:rPr>
        <w:t>20</w:t>
      </w:r>
      <w:r w:rsidR="00421B45" w:rsidRPr="008057F4">
        <w:rPr>
          <w:rFonts w:ascii="Times New Roman" w:hAnsi="Times New Roman" w:cs="Times New Roman"/>
          <w:sz w:val="24"/>
          <w:szCs w:val="24"/>
        </w:rPr>
        <w:t xml:space="preserve"> vyšší o </w:t>
      </w:r>
      <w:r w:rsidR="00204818">
        <w:rPr>
          <w:rFonts w:ascii="Times New Roman" w:hAnsi="Times New Roman" w:cs="Times New Roman"/>
          <w:sz w:val="24"/>
          <w:szCs w:val="24"/>
        </w:rPr>
        <w:t>4</w:t>
      </w:r>
      <w:r w:rsidR="00421B45" w:rsidRPr="008057F4">
        <w:rPr>
          <w:rFonts w:ascii="Times New Roman" w:hAnsi="Times New Roman" w:cs="Times New Roman"/>
          <w:sz w:val="24"/>
          <w:szCs w:val="24"/>
        </w:rPr>
        <w:t> </w:t>
      </w:r>
      <w:r w:rsidR="00204818">
        <w:rPr>
          <w:rFonts w:ascii="Times New Roman" w:hAnsi="Times New Roman" w:cs="Times New Roman"/>
          <w:sz w:val="24"/>
          <w:szCs w:val="24"/>
        </w:rPr>
        <w:t>312</w:t>
      </w:r>
      <w:r w:rsidR="00421B45" w:rsidRPr="008057F4">
        <w:rPr>
          <w:rFonts w:ascii="Times New Roman" w:hAnsi="Times New Roman" w:cs="Times New Roman"/>
          <w:sz w:val="24"/>
          <w:szCs w:val="24"/>
        </w:rPr>
        <w:t> </w:t>
      </w:r>
      <w:r w:rsidR="00204818">
        <w:rPr>
          <w:rFonts w:ascii="Times New Roman" w:hAnsi="Times New Roman" w:cs="Times New Roman"/>
          <w:sz w:val="24"/>
          <w:szCs w:val="24"/>
        </w:rPr>
        <w:t>550</w:t>
      </w:r>
      <w:r w:rsidR="00421B45" w:rsidRPr="008057F4">
        <w:rPr>
          <w:rFonts w:ascii="Times New Roman" w:hAnsi="Times New Roman" w:cs="Times New Roman"/>
          <w:sz w:val="24"/>
          <w:szCs w:val="24"/>
        </w:rPr>
        <w:t xml:space="preserve"> EUR. Zvyšuje sa rozpočet bežných príjmov</w:t>
      </w:r>
      <w:r w:rsidR="00204818">
        <w:rPr>
          <w:rFonts w:ascii="Times New Roman" w:hAnsi="Times New Roman" w:cs="Times New Roman"/>
          <w:sz w:val="24"/>
          <w:szCs w:val="24"/>
        </w:rPr>
        <w:t>,</w:t>
      </w:r>
      <w:r w:rsidR="00421B45" w:rsidRPr="008057F4">
        <w:rPr>
          <w:rFonts w:ascii="Times New Roman" w:hAnsi="Times New Roman" w:cs="Times New Roman"/>
          <w:sz w:val="24"/>
          <w:szCs w:val="24"/>
        </w:rPr>
        <w:t> bežných výdavkov</w:t>
      </w:r>
      <w:r w:rsidR="00204818">
        <w:rPr>
          <w:rFonts w:ascii="Times New Roman" w:hAnsi="Times New Roman" w:cs="Times New Roman"/>
          <w:sz w:val="24"/>
          <w:szCs w:val="24"/>
        </w:rPr>
        <w:t xml:space="preserve"> a najmä kapitálových výdavkov. Dôvodom je nárast daňových príjmov a zvýšenie príjmových finančných operácií z dôvodu čerpania komerčného úveru.</w:t>
      </w:r>
      <w:bookmarkStart w:id="0" w:name="_GoBack"/>
      <w:bookmarkEnd w:id="0"/>
    </w:p>
    <w:p w:rsidR="00740A05" w:rsidRDefault="00740A05" w:rsidP="00393C2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0A05" w:rsidRDefault="00740A05" w:rsidP="00393C2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0A05" w:rsidRDefault="00740A05" w:rsidP="00393C2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0A05" w:rsidRDefault="00740A05" w:rsidP="00393C28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1586" w:rsidRDefault="00B81586" w:rsidP="008A1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CFB" w:rsidRPr="005A7319" w:rsidRDefault="00753CFB" w:rsidP="0062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19">
        <w:rPr>
          <w:rFonts w:ascii="Times New Roman" w:hAnsi="Times New Roman" w:cs="Times New Roman"/>
          <w:b/>
          <w:sz w:val="24"/>
          <w:szCs w:val="24"/>
        </w:rPr>
        <w:t>STANOVISKO MIESTNEHO KONTROLÓRA</w:t>
      </w:r>
    </w:p>
    <w:p w:rsidR="005125CC" w:rsidRPr="005A7319" w:rsidRDefault="005125CC" w:rsidP="0062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FB" w:rsidRDefault="00753CFB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 xml:space="preserve">     </w:t>
      </w:r>
      <w:r w:rsidR="008A1DE0" w:rsidRPr="005A7319">
        <w:rPr>
          <w:rFonts w:ascii="Times New Roman" w:hAnsi="Times New Roman" w:cs="Times New Roman"/>
          <w:sz w:val="24"/>
          <w:szCs w:val="24"/>
        </w:rPr>
        <w:tab/>
      </w:r>
      <w:r w:rsidRPr="005A7319">
        <w:rPr>
          <w:rFonts w:ascii="Times New Roman" w:hAnsi="Times New Roman" w:cs="Times New Roman"/>
          <w:sz w:val="24"/>
          <w:szCs w:val="24"/>
        </w:rPr>
        <w:t>Vzhľadom na uvedené skutočnosti odporúčam Miestnemu zastupiteľstvu mestskej časti Bratislava-Petržalka:</w:t>
      </w:r>
    </w:p>
    <w:p w:rsidR="00B2573D" w:rsidRPr="005A7319" w:rsidRDefault="00B2573D" w:rsidP="0062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FB" w:rsidRPr="005A7319" w:rsidRDefault="00753CFB" w:rsidP="0062658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schváliť predložený Návrh rozpočtu mestskej časti Bratislava-Petržalka na rok 20</w:t>
      </w:r>
      <w:r w:rsidR="00B81586">
        <w:rPr>
          <w:rFonts w:ascii="Times New Roman" w:hAnsi="Times New Roman" w:cs="Times New Roman"/>
          <w:sz w:val="24"/>
          <w:szCs w:val="24"/>
        </w:rPr>
        <w:t>2</w:t>
      </w:r>
      <w:r w:rsidR="00204818">
        <w:rPr>
          <w:rFonts w:ascii="Times New Roman" w:hAnsi="Times New Roman" w:cs="Times New Roman"/>
          <w:sz w:val="24"/>
          <w:szCs w:val="24"/>
        </w:rPr>
        <w:t>1</w:t>
      </w:r>
      <w:r w:rsidRPr="005A731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53CFB" w:rsidRPr="005A7319" w:rsidRDefault="00753CFB" w:rsidP="0062658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>zobrať na vedomie Výhľad rozpočtu mestskej časti Bratislava-Petržalka na roky 20</w:t>
      </w:r>
      <w:r w:rsidR="003B1B59" w:rsidRPr="005A7319">
        <w:rPr>
          <w:rFonts w:ascii="Times New Roman" w:hAnsi="Times New Roman" w:cs="Times New Roman"/>
          <w:sz w:val="24"/>
          <w:szCs w:val="24"/>
        </w:rPr>
        <w:t>2</w:t>
      </w:r>
      <w:r w:rsidR="00740A05">
        <w:rPr>
          <w:rFonts w:ascii="Times New Roman" w:hAnsi="Times New Roman" w:cs="Times New Roman"/>
          <w:sz w:val="24"/>
          <w:szCs w:val="24"/>
        </w:rPr>
        <w:t>2</w:t>
      </w:r>
      <w:r w:rsidRPr="005A7319">
        <w:rPr>
          <w:rFonts w:ascii="Times New Roman" w:hAnsi="Times New Roman" w:cs="Times New Roman"/>
          <w:sz w:val="24"/>
          <w:szCs w:val="24"/>
        </w:rPr>
        <w:t xml:space="preserve"> a 20</w:t>
      </w:r>
      <w:r w:rsidR="003B1B59" w:rsidRPr="005A7319">
        <w:rPr>
          <w:rFonts w:ascii="Times New Roman" w:hAnsi="Times New Roman" w:cs="Times New Roman"/>
          <w:sz w:val="24"/>
          <w:szCs w:val="24"/>
        </w:rPr>
        <w:t>2</w:t>
      </w:r>
      <w:r w:rsidR="00740A05">
        <w:rPr>
          <w:rFonts w:ascii="Times New Roman" w:hAnsi="Times New Roman" w:cs="Times New Roman"/>
          <w:sz w:val="24"/>
          <w:szCs w:val="24"/>
        </w:rPr>
        <w:t>3</w:t>
      </w:r>
      <w:r w:rsidRPr="005A7319">
        <w:rPr>
          <w:rFonts w:ascii="Times New Roman" w:hAnsi="Times New Roman" w:cs="Times New Roman"/>
          <w:sz w:val="24"/>
          <w:szCs w:val="24"/>
        </w:rPr>
        <w:t>.</w:t>
      </w:r>
    </w:p>
    <w:p w:rsidR="005125CC" w:rsidRPr="005A7319" w:rsidRDefault="005125CC" w:rsidP="006265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0743" w:rsidRPr="005A7319" w:rsidRDefault="001E0743" w:rsidP="006265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53CFB" w:rsidRDefault="00753CFB" w:rsidP="0062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740A05">
        <w:rPr>
          <w:rFonts w:ascii="Times New Roman" w:hAnsi="Times New Roman" w:cs="Times New Roman"/>
          <w:sz w:val="24"/>
          <w:szCs w:val="24"/>
        </w:rPr>
        <w:t>9</w:t>
      </w:r>
      <w:r w:rsidR="008057F4">
        <w:rPr>
          <w:rFonts w:ascii="Times New Roman" w:hAnsi="Times New Roman" w:cs="Times New Roman"/>
          <w:sz w:val="24"/>
          <w:szCs w:val="24"/>
        </w:rPr>
        <w:t>. decembra 20</w:t>
      </w:r>
      <w:r w:rsidR="00740A05">
        <w:rPr>
          <w:rFonts w:ascii="Times New Roman" w:hAnsi="Times New Roman" w:cs="Times New Roman"/>
          <w:sz w:val="24"/>
          <w:szCs w:val="24"/>
        </w:rPr>
        <w:t>20</w:t>
      </w:r>
    </w:p>
    <w:p w:rsidR="008057F4" w:rsidRDefault="008057F4" w:rsidP="0062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78" w:rsidRDefault="00D94A78" w:rsidP="0062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7F4" w:rsidRPr="005A7319" w:rsidRDefault="008057F4" w:rsidP="0062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5CC" w:rsidRPr="005A7319" w:rsidRDefault="005125CC" w:rsidP="0062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CFB" w:rsidRPr="005A7319" w:rsidRDefault="00753CFB" w:rsidP="0062658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="005125CC" w:rsidRPr="005A73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7319">
        <w:rPr>
          <w:rFonts w:ascii="Times New Roman" w:hAnsi="Times New Roman" w:cs="Times New Roman"/>
          <w:sz w:val="24"/>
          <w:szCs w:val="24"/>
        </w:rPr>
        <w:t xml:space="preserve">   Stanislav Fiala</w:t>
      </w:r>
    </w:p>
    <w:p w:rsidR="000734E6" w:rsidRPr="005A7319" w:rsidRDefault="00753CFB" w:rsidP="001E074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A73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miestny kontrolór</w:t>
      </w:r>
    </w:p>
    <w:sectPr w:rsidR="000734E6" w:rsidRPr="005A7319" w:rsidSect="000B53F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E9" w:rsidRDefault="00715CE9">
      <w:pPr>
        <w:spacing w:after="0" w:line="240" w:lineRule="auto"/>
      </w:pPr>
      <w:r>
        <w:separator/>
      </w:r>
    </w:p>
  </w:endnote>
  <w:endnote w:type="continuationSeparator" w:id="0">
    <w:p w:rsidR="00715CE9" w:rsidRDefault="0071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974614"/>
      <w:docPartObj>
        <w:docPartGallery w:val="Page Numbers (Bottom of Page)"/>
        <w:docPartUnique/>
      </w:docPartObj>
    </w:sdtPr>
    <w:sdtEndPr/>
    <w:sdtContent>
      <w:p w:rsidR="00185DF3" w:rsidRDefault="007568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C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5DF3" w:rsidRDefault="00185D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E9" w:rsidRDefault="00715CE9">
      <w:pPr>
        <w:spacing w:after="0" w:line="240" w:lineRule="auto"/>
      </w:pPr>
      <w:r>
        <w:separator/>
      </w:r>
    </w:p>
  </w:footnote>
  <w:footnote w:type="continuationSeparator" w:id="0">
    <w:p w:rsidR="00715CE9" w:rsidRDefault="0071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EF1"/>
    <w:multiLevelType w:val="hybridMultilevel"/>
    <w:tmpl w:val="CA04933E"/>
    <w:lvl w:ilvl="0" w:tplc="60FAF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7DFE"/>
    <w:multiLevelType w:val="hybridMultilevel"/>
    <w:tmpl w:val="7438F4F2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1416D"/>
    <w:multiLevelType w:val="hybridMultilevel"/>
    <w:tmpl w:val="95A68BFC"/>
    <w:lvl w:ilvl="0" w:tplc="5B3A55D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7CC6"/>
    <w:multiLevelType w:val="hybridMultilevel"/>
    <w:tmpl w:val="0CF80B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8F7E36"/>
    <w:multiLevelType w:val="hybridMultilevel"/>
    <w:tmpl w:val="813E9318"/>
    <w:lvl w:ilvl="0" w:tplc="062C0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53E8C"/>
    <w:multiLevelType w:val="hybridMultilevel"/>
    <w:tmpl w:val="6C28C4AE"/>
    <w:lvl w:ilvl="0" w:tplc="670C9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EB66E3"/>
    <w:multiLevelType w:val="hybridMultilevel"/>
    <w:tmpl w:val="ACC2193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652C5C"/>
    <w:multiLevelType w:val="hybridMultilevel"/>
    <w:tmpl w:val="F8963D62"/>
    <w:lvl w:ilvl="0" w:tplc="BC08373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8E2580"/>
    <w:multiLevelType w:val="hybridMultilevel"/>
    <w:tmpl w:val="7D1CFD12"/>
    <w:lvl w:ilvl="0" w:tplc="58E0E7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C6154"/>
    <w:multiLevelType w:val="hybridMultilevel"/>
    <w:tmpl w:val="30FEE910"/>
    <w:lvl w:ilvl="0" w:tplc="60FAF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307C1"/>
    <w:multiLevelType w:val="hybridMultilevel"/>
    <w:tmpl w:val="9412F720"/>
    <w:lvl w:ilvl="0" w:tplc="BC083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F61BE"/>
    <w:multiLevelType w:val="hybridMultilevel"/>
    <w:tmpl w:val="E0246810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5838DB"/>
    <w:multiLevelType w:val="hybridMultilevel"/>
    <w:tmpl w:val="EE107F4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52CE9"/>
    <w:multiLevelType w:val="hybridMultilevel"/>
    <w:tmpl w:val="3A08D728"/>
    <w:lvl w:ilvl="0" w:tplc="BC083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10CE"/>
    <w:multiLevelType w:val="hybridMultilevel"/>
    <w:tmpl w:val="35B84856"/>
    <w:lvl w:ilvl="0" w:tplc="65CA82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E0641"/>
    <w:multiLevelType w:val="hybridMultilevel"/>
    <w:tmpl w:val="59A22B8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C37C03"/>
    <w:multiLevelType w:val="hybridMultilevel"/>
    <w:tmpl w:val="B8E6CF58"/>
    <w:lvl w:ilvl="0" w:tplc="BC0837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E57486"/>
    <w:multiLevelType w:val="hybridMultilevel"/>
    <w:tmpl w:val="7DBE6D3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A79B1"/>
    <w:multiLevelType w:val="hybridMultilevel"/>
    <w:tmpl w:val="9BF6AA0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510984"/>
    <w:multiLevelType w:val="hybridMultilevel"/>
    <w:tmpl w:val="8212676A"/>
    <w:lvl w:ilvl="0" w:tplc="A09281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451BA"/>
    <w:multiLevelType w:val="hybridMultilevel"/>
    <w:tmpl w:val="94E0EFE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53265"/>
    <w:multiLevelType w:val="hybridMultilevel"/>
    <w:tmpl w:val="024C9A94"/>
    <w:lvl w:ilvl="0" w:tplc="BC083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521D9"/>
    <w:multiLevelType w:val="hybridMultilevel"/>
    <w:tmpl w:val="5E02E556"/>
    <w:lvl w:ilvl="0" w:tplc="041B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82DAB"/>
    <w:multiLevelType w:val="hybridMultilevel"/>
    <w:tmpl w:val="53DC8D4A"/>
    <w:lvl w:ilvl="0" w:tplc="D64A6EA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4"/>
  </w:num>
  <w:num w:numId="5">
    <w:abstractNumId w:val="0"/>
  </w:num>
  <w:num w:numId="6">
    <w:abstractNumId w:val="21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4"/>
  </w:num>
  <w:num w:numId="15">
    <w:abstractNumId w:val="23"/>
  </w:num>
  <w:num w:numId="16">
    <w:abstractNumId w:val="11"/>
  </w:num>
  <w:num w:numId="17">
    <w:abstractNumId w:val="20"/>
  </w:num>
  <w:num w:numId="18">
    <w:abstractNumId w:val="6"/>
  </w:num>
  <w:num w:numId="19">
    <w:abstractNumId w:val="18"/>
  </w:num>
  <w:num w:numId="20">
    <w:abstractNumId w:val="3"/>
  </w:num>
  <w:num w:numId="21">
    <w:abstractNumId w:val="5"/>
  </w:num>
  <w:num w:numId="22">
    <w:abstractNumId w:val="15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DC"/>
    <w:rsid w:val="00000960"/>
    <w:rsid w:val="0000595F"/>
    <w:rsid w:val="00007107"/>
    <w:rsid w:val="00013CF3"/>
    <w:rsid w:val="000162BE"/>
    <w:rsid w:val="00017DA5"/>
    <w:rsid w:val="0005319F"/>
    <w:rsid w:val="00053313"/>
    <w:rsid w:val="000536F6"/>
    <w:rsid w:val="00055339"/>
    <w:rsid w:val="00056A2C"/>
    <w:rsid w:val="0005718A"/>
    <w:rsid w:val="000734E6"/>
    <w:rsid w:val="00074FC7"/>
    <w:rsid w:val="00082D75"/>
    <w:rsid w:val="00085619"/>
    <w:rsid w:val="00094DE4"/>
    <w:rsid w:val="00096DC7"/>
    <w:rsid w:val="000A25FD"/>
    <w:rsid w:val="000B53F5"/>
    <w:rsid w:val="000B5889"/>
    <w:rsid w:val="000C2D2B"/>
    <w:rsid w:val="000D050B"/>
    <w:rsid w:val="000E00D0"/>
    <w:rsid w:val="000E033D"/>
    <w:rsid w:val="000E709A"/>
    <w:rsid w:val="000F55DE"/>
    <w:rsid w:val="000F6335"/>
    <w:rsid w:val="000F68AB"/>
    <w:rsid w:val="00101DF5"/>
    <w:rsid w:val="001040FB"/>
    <w:rsid w:val="001148D7"/>
    <w:rsid w:val="0012404D"/>
    <w:rsid w:val="00143385"/>
    <w:rsid w:val="001546D2"/>
    <w:rsid w:val="00181DF6"/>
    <w:rsid w:val="00184396"/>
    <w:rsid w:val="00185DF3"/>
    <w:rsid w:val="00186E78"/>
    <w:rsid w:val="00197E3C"/>
    <w:rsid w:val="001A6DBA"/>
    <w:rsid w:val="001B2920"/>
    <w:rsid w:val="001D2FB1"/>
    <w:rsid w:val="001D4A31"/>
    <w:rsid w:val="001D6BA2"/>
    <w:rsid w:val="001E0743"/>
    <w:rsid w:val="001E0914"/>
    <w:rsid w:val="001E35AD"/>
    <w:rsid w:val="001E68C3"/>
    <w:rsid w:val="001F2330"/>
    <w:rsid w:val="001F5E82"/>
    <w:rsid w:val="001F7691"/>
    <w:rsid w:val="001F7736"/>
    <w:rsid w:val="00204818"/>
    <w:rsid w:val="00206365"/>
    <w:rsid w:val="00211360"/>
    <w:rsid w:val="00212336"/>
    <w:rsid w:val="00215EC4"/>
    <w:rsid w:val="0023040D"/>
    <w:rsid w:val="00232530"/>
    <w:rsid w:val="0025392E"/>
    <w:rsid w:val="00260DDE"/>
    <w:rsid w:val="002731B3"/>
    <w:rsid w:val="002834A7"/>
    <w:rsid w:val="00284F76"/>
    <w:rsid w:val="00286AEF"/>
    <w:rsid w:val="002A564C"/>
    <w:rsid w:val="002B08F3"/>
    <w:rsid w:val="002B619F"/>
    <w:rsid w:val="002B6835"/>
    <w:rsid w:val="002B7879"/>
    <w:rsid w:val="002C4577"/>
    <w:rsid w:val="002D70F3"/>
    <w:rsid w:val="002F6563"/>
    <w:rsid w:val="00303892"/>
    <w:rsid w:val="00305401"/>
    <w:rsid w:val="00306D9E"/>
    <w:rsid w:val="00332499"/>
    <w:rsid w:val="003402B5"/>
    <w:rsid w:val="003461C2"/>
    <w:rsid w:val="00356447"/>
    <w:rsid w:val="00357BB4"/>
    <w:rsid w:val="00366261"/>
    <w:rsid w:val="00374BC0"/>
    <w:rsid w:val="00393AB3"/>
    <w:rsid w:val="00393C28"/>
    <w:rsid w:val="0039619E"/>
    <w:rsid w:val="003B1B59"/>
    <w:rsid w:val="003B3E9D"/>
    <w:rsid w:val="003B54AF"/>
    <w:rsid w:val="003C2765"/>
    <w:rsid w:val="003D651F"/>
    <w:rsid w:val="003E18F5"/>
    <w:rsid w:val="003E3EC7"/>
    <w:rsid w:val="003F1374"/>
    <w:rsid w:val="003F7C2B"/>
    <w:rsid w:val="0040426B"/>
    <w:rsid w:val="004117AE"/>
    <w:rsid w:val="004137CA"/>
    <w:rsid w:val="004211F8"/>
    <w:rsid w:val="00421B45"/>
    <w:rsid w:val="00432E31"/>
    <w:rsid w:val="00437712"/>
    <w:rsid w:val="00452C11"/>
    <w:rsid w:val="00453BAF"/>
    <w:rsid w:val="00453BB9"/>
    <w:rsid w:val="00453D3C"/>
    <w:rsid w:val="00461E69"/>
    <w:rsid w:val="004702E9"/>
    <w:rsid w:val="00470A1A"/>
    <w:rsid w:val="00472AE9"/>
    <w:rsid w:val="004829E4"/>
    <w:rsid w:val="00486EE1"/>
    <w:rsid w:val="00491C85"/>
    <w:rsid w:val="004A1F67"/>
    <w:rsid w:val="004A3E46"/>
    <w:rsid w:val="004B16DA"/>
    <w:rsid w:val="004B4D29"/>
    <w:rsid w:val="004B7407"/>
    <w:rsid w:val="004B7CCB"/>
    <w:rsid w:val="004C09B4"/>
    <w:rsid w:val="004C423A"/>
    <w:rsid w:val="004D1D27"/>
    <w:rsid w:val="004F645E"/>
    <w:rsid w:val="00511EDC"/>
    <w:rsid w:val="005125CC"/>
    <w:rsid w:val="00516DD0"/>
    <w:rsid w:val="00523A30"/>
    <w:rsid w:val="005246D2"/>
    <w:rsid w:val="00525FFB"/>
    <w:rsid w:val="0053713A"/>
    <w:rsid w:val="005403AC"/>
    <w:rsid w:val="00542703"/>
    <w:rsid w:val="00542D6B"/>
    <w:rsid w:val="005460AF"/>
    <w:rsid w:val="005554B7"/>
    <w:rsid w:val="00560E9D"/>
    <w:rsid w:val="00561C6F"/>
    <w:rsid w:val="00571E24"/>
    <w:rsid w:val="00575000"/>
    <w:rsid w:val="00592D7D"/>
    <w:rsid w:val="005935C7"/>
    <w:rsid w:val="005A1E98"/>
    <w:rsid w:val="005A46D8"/>
    <w:rsid w:val="005A7319"/>
    <w:rsid w:val="005B0597"/>
    <w:rsid w:val="005B31D2"/>
    <w:rsid w:val="005B77F3"/>
    <w:rsid w:val="005C58C6"/>
    <w:rsid w:val="005D0CE4"/>
    <w:rsid w:val="005E0157"/>
    <w:rsid w:val="005F65DA"/>
    <w:rsid w:val="00605DE6"/>
    <w:rsid w:val="00615E86"/>
    <w:rsid w:val="0062149D"/>
    <w:rsid w:val="00622DAF"/>
    <w:rsid w:val="00623F3B"/>
    <w:rsid w:val="0062658A"/>
    <w:rsid w:val="00627F3F"/>
    <w:rsid w:val="006317B0"/>
    <w:rsid w:val="00645272"/>
    <w:rsid w:val="00656037"/>
    <w:rsid w:val="00665297"/>
    <w:rsid w:val="0068362F"/>
    <w:rsid w:val="00694618"/>
    <w:rsid w:val="006A60BD"/>
    <w:rsid w:val="006B2BFC"/>
    <w:rsid w:val="006B4563"/>
    <w:rsid w:val="006E3961"/>
    <w:rsid w:val="006E51B6"/>
    <w:rsid w:val="006F076B"/>
    <w:rsid w:val="006F64A3"/>
    <w:rsid w:val="00715CE9"/>
    <w:rsid w:val="0072164F"/>
    <w:rsid w:val="00724C9C"/>
    <w:rsid w:val="007305AD"/>
    <w:rsid w:val="007310F5"/>
    <w:rsid w:val="0073540D"/>
    <w:rsid w:val="00740A05"/>
    <w:rsid w:val="00741C58"/>
    <w:rsid w:val="00742877"/>
    <w:rsid w:val="007455D3"/>
    <w:rsid w:val="00745A53"/>
    <w:rsid w:val="00753CFB"/>
    <w:rsid w:val="007568E2"/>
    <w:rsid w:val="007618FA"/>
    <w:rsid w:val="00765AC7"/>
    <w:rsid w:val="0076702B"/>
    <w:rsid w:val="007732F9"/>
    <w:rsid w:val="007803DA"/>
    <w:rsid w:val="00785B76"/>
    <w:rsid w:val="00793843"/>
    <w:rsid w:val="007972AF"/>
    <w:rsid w:val="007A2771"/>
    <w:rsid w:val="007C3663"/>
    <w:rsid w:val="007C4C92"/>
    <w:rsid w:val="007C6097"/>
    <w:rsid w:val="007D0208"/>
    <w:rsid w:val="007D4404"/>
    <w:rsid w:val="007F14BE"/>
    <w:rsid w:val="007F40F7"/>
    <w:rsid w:val="007F4D67"/>
    <w:rsid w:val="007F6BFB"/>
    <w:rsid w:val="0080287F"/>
    <w:rsid w:val="0080408F"/>
    <w:rsid w:val="008057F4"/>
    <w:rsid w:val="00810279"/>
    <w:rsid w:val="0081630E"/>
    <w:rsid w:val="008237BD"/>
    <w:rsid w:val="008313E4"/>
    <w:rsid w:val="00834E89"/>
    <w:rsid w:val="00843218"/>
    <w:rsid w:val="00844F45"/>
    <w:rsid w:val="00857A73"/>
    <w:rsid w:val="008638BC"/>
    <w:rsid w:val="008701A2"/>
    <w:rsid w:val="008726B3"/>
    <w:rsid w:val="00877BB0"/>
    <w:rsid w:val="008967B3"/>
    <w:rsid w:val="0089764D"/>
    <w:rsid w:val="008A1596"/>
    <w:rsid w:val="008A1DE0"/>
    <w:rsid w:val="008A5BD1"/>
    <w:rsid w:val="008B06F7"/>
    <w:rsid w:val="008B4B63"/>
    <w:rsid w:val="008B503C"/>
    <w:rsid w:val="008B70DC"/>
    <w:rsid w:val="008C7A5F"/>
    <w:rsid w:val="008D1896"/>
    <w:rsid w:val="008E5F16"/>
    <w:rsid w:val="0090401E"/>
    <w:rsid w:val="00904597"/>
    <w:rsid w:val="00911ABA"/>
    <w:rsid w:val="00920E03"/>
    <w:rsid w:val="00921D94"/>
    <w:rsid w:val="00922B4F"/>
    <w:rsid w:val="00924C8F"/>
    <w:rsid w:val="00934377"/>
    <w:rsid w:val="0093538E"/>
    <w:rsid w:val="0093728C"/>
    <w:rsid w:val="00941631"/>
    <w:rsid w:val="00941934"/>
    <w:rsid w:val="00946FD4"/>
    <w:rsid w:val="00954258"/>
    <w:rsid w:val="0095455C"/>
    <w:rsid w:val="009653FB"/>
    <w:rsid w:val="00970D27"/>
    <w:rsid w:val="0098079E"/>
    <w:rsid w:val="009829D7"/>
    <w:rsid w:val="00994433"/>
    <w:rsid w:val="009A0A1A"/>
    <w:rsid w:val="009A41D5"/>
    <w:rsid w:val="009B13A7"/>
    <w:rsid w:val="009D69D4"/>
    <w:rsid w:val="009E12AD"/>
    <w:rsid w:val="009F1A7F"/>
    <w:rsid w:val="009F4B48"/>
    <w:rsid w:val="00A01989"/>
    <w:rsid w:val="00A176A6"/>
    <w:rsid w:val="00A242C0"/>
    <w:rsid w:val="00A27149"/>
    <w:rsid w:val="00A305FA"/>
    <w:rsid w:val="00A31467"/>
    <w:rsid w:val="00A442F4"/>
    <w:rsid w:val="00A45175"/>
    <w:rsid w:val="00A4720A"/>
    <w:rsid w:val="00A501EF"/>
    <w:rsid w:val="00A5431A"/>
    <w:rsid w:val="00A56AE1"/>
    <w:rsid w:val="00A60D89"/>
    <w:rsid w:val="00A8609B"/>
    <w:rsid w:val="00A90389"/>
    <w:rsid w:val="00A95953"/>
    <w:rsid w:val="00A97CEC"/>
    <w:rsid w:val="00AA37BC"/>
    <w:rsid w:val="00AB6788"/>
    <w:rsid w:val="00AC1A31"/>
    <w:rsid w:val="00AD5628"/>
    <w:rsid w:val="00AF201F"/>
    <w:rsid w:val="00B00EBF"/>
    <w:rsid w:val="00B020C8"/>
    <w:rsid w:val="00B03661"/>
    <w:rsid w:val="00B06C0A"/>
    <w:rsid w:val="00B13B50"/>
    <w:rsid w:val="00B14C5E"/>
    <w:rsid w:val="00B161A2"/>
    <w:rsid w:val="00B254AA"/>
    <w:rsid w:val="00B2573D"/>
    <w:rsid w:val="00B25F87"/>
    <w:rsid w:val="00B347AB"/>
    <w:rsid w:val="00B3788E"/>
    <w:rsid w:val="00B601DC"/>
    <w:rsid w:val="00B60713"/>
    <w:rsid w:val="00B81586"/>
    <w:rsid w:val="00B829E4"/>
    <w:rsid w:val="00BA0701"/>
    <w:rsid w:val="00BA1287"/>
    <w:rsid w:val="00BA7EEE"/>
    <w:rsid w:val="00BB010C"/>
    <w:rsid w:val="00BB1DD9"/>
    <w:rsid w:val="00BC281E"/>
    <w:rsid w:val="00BC64A5"/>
    <w:rsid w:val="00BC6F69"/>
    <w:rsid w:val="00BC75B2"/>
    <w:rsid w:val="00BD3FED"/>
    <w:rsid w:val="00BD4A4D"/>
    <w:rsid w:val="00BE3948"/>
    <w:rsid w:val="00BE4C3D"/>
    <w:rsid w:val="00BE65BF"/>
    <w:rsid w:val="00BF595F"/>
    <w:rsid w:val="00C12368"/>
    <w:rsid w:val="00C16A52"/>
    <w:rsid w:val="00C20CBB"/>
    <w:rsid w:val="00C223B9"/>
    <w:rsid w:val="00C36B6D"/>
    <w:rsid w:val="00C46CC0"/>
    <w:rsid w:val="00C53A63"/>
    <w:rsid w:val="00C54588"/>
    <w:rsid w:val="00C60A82"/>
    <w:rsid w:val="00C60F30"/>
    <w:rsid w:val="00C638CE"/>
    <w:rsid w:val="00C6471D"/>
    <w:rsid w:val="00C64733"/>
    <w:rsid w:val="00C6671A"/>
    <w:rsid w:val="00C7208C"/>
    <w:rsid w:val="00C725E8"/>
    <w:rsid w:val="00C850FB"/>
    <w:rsid w:val="00C92B54"/>
    <w:rsid w:val="00C92E38"/>
    <w:rsid w:val="00CA16B5"/>
    <w:rsid w:val="00CA2225"/>
    <w:rsid w:val="00CA4968"/>
    <w:rsid w:val="00CA4FA0"/>
    <w:rsid w:val="00CD4FEF"/>
    <w:rsid w:val="00CE3EF2"/>
    <w:rsid w:val="00D043B4"/>
    <w:rsid w:val="00D102E1"/>
    <w:rsid w:val="00D165BF"/>
    <w:rsid w:val="00D16DCD"/>
    <w:rsid w:val="00D317E6"/>
    <w:rsid w:val="00D31C5F"/>
    <w:rsid w:val="00D323B8"/>
    <w:rsid w:val="00D33F91"/>
    <w:rsid w:val="00D406AE"/>
    <w:rsid w:val="00D54FCD"/>
    <w:rsid w:val="00D601DE"/>
    <w:rsid w:val="00D639AD"/>
    <w:rsid w:val="00D75952"/>
    <w:rsid w:val="00D8568C"/>
    <w:rsid w:val="00D8738E"/>
    <w:rsid w:val="00D94A78"/>
    <w:rsid w:val="00DA4DE4"/>
    <w:rsid w:val="00DB2914"/>
    <w:rsid w:val="00DC16A5"/>
    <w:rsid w:val="00DC5F92"/>
    <w:rsid w:val="00DC7213"/>
    <w:rsid w:val="00DD29CF"/>
    <w:rsid w:val="00DD3EE3"/>
    <w:rsid w:val="00DE1569"/>
    <w:rsid w:val="00DF6CB1"/>
    <w:rsid w:val="00E012D5"/>
    <w:rsid w:val="00E053F2"/>
    <w:rsid w:val="00E11767"/>
    <w:rsid w:val="00E1436C"/>
    <w:rsid w:val="00E16598"/>
    <w:rsid w:val="00E40A25"/>
    <w:rsid w:val="00E40D03"/>
    <w:rsid w:val="00E428B7"/>
    <w:rsid w:val="00E42D7E"/>
    <w:rsid w:val="00E63652"/>
    <w:rsid w:val="00E7029A"/>
    <w:rsid w:val="00E81703"/>
    <w:rsid w:val="00E853DD"/>
    <w:rsid w:val="00E90782"/>
    <w:rsid w:val="00E9305D"/>
    <w:rsid w:val="00EA3AE2"/>
    <w:rsid w:val="00EA5C78"/>
    <w:rsid w:val="00EB0535"/>
    <w:rsid w:val="00EB7AA6"/>
    <w:rsid w:val="00ED72D2"/>
    <w:rsid w:val="00EE6161"/>
    <w:rsid w:val="00EF2586"/>
    <w:rsid w:val="00EF4AA6"/>
    <w:rsid w:val="00EF5835"/>
    <w:rsid w:val="00F05D11"/>
    <w:rsid w:val="00F07752"/>
    <w:rsid w:val="00F21E42"/>
    <w:rsid w:val="00F3094D"/>
    <w:rsid w:val="00F310E3"/>
    <w:rsid w:val="00F373EB"/>
    <w:rsid w:val="00F42480"/>
    <w:rsid w:val="00F4372B"/>
    <w:rsid w:val="00F444A8"/>
    <w:rsid w:val="00F44D96"/>
    <w:rsid w:val="00F459A8"/>
    <w:rsid w:val="00F57951"/>
    <w:rsid w:val="00F6048A"/>
    <w:rsid w:val="00F632EF"/>
    <w:rsid w:val="00F74C1A"/>
    <w:rsid w:val="00F75925"/>
    <w:rsid w:val="00F80A19"/>
    <w:rsid w:val="00F90710"/>
    <w:rsid w:val="00F92788"/>
    <w:rsid w:val="00FA464E"/>
    <w:rsid w:val="00FB239F"/>
    <w:rsid w:val="00FB4EE7"/>
    <w:rsid w:val="00FB5EFD"/>
    <w:rsid w:val="00FC1D8B"/>
    <w:rsid w:val="00FC2CCC"/>
    <w:rsid w:val="00FD0985"/>
    <w:rsid w:val="00FD2151"/>
    <w:rsid w:val="00FE0696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70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70DC"/>
    <w:pPr>
      <w:ind w:left="720"/>
      <w:contextualSpacing/>
    </w:pPr>
  </w:style>
  <w:style w:type="table" w:styleId="Mriekatabuky">
    <w:name w:val="Table Grid"/>
    <w:basedOn w:val="Normlnatabuka"/>
    <w:uiPriority w:val="59"/>
    <w:rsid w:val="008B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B70DC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B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70DC"/>
  </w:style>
  <w:style w:type="paragraph" w:styleId="Textbubliny">
    <w:name w:val="Balloon Text"/>
    <w:basedOn w:val="Normlny"/>
    <w:link w:val="TextbublinyChar"/>
    <w:uiPriority w:val="99"/>
    <w:semiHidden/>
    <w:unhideWhenUsed/>
    <w:rsid w:val="000B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53F5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260DDE"/>
    <w:pPr>
      <w:spacing w:after="0" w:line="240" w:lineRule="auto"/>
    </w:pPr>
  </w:style>
  <w:style w:type="paragraph" w:customStyle="1" w:styleId="Default">
    <w:name w:val="Default"/>
    <w:rsid w:val="005C58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4287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14C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C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C5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C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C5E"/>
    <w:rPr>
      <w:b/>
      <w:bCs/>
      <w:sz w:val="20"/>
      <w:szCs w:val="20"/>
    </w:rPr>
  </w:style>
  <w:style w:type="character" w:customStyle="1" w:styleId="bumpedfont15">
    <w:name w:val="bumpedfont15"/>
    <w:basedOn w:val="Predvolenpsmoodseku"/>
    <w:rsid w:val="00F75925"/>
  </w:style>
  <w:style w:type="paragraph" w:styleId="Zkladntext">
    <w:name w:val="Body Text"/>
    <w:basedOn w:val="Normlny"/>
    <w:link w:val="ZkladntextChar"/>
    <w:rsid w:val="005B0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5B0597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89764D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9764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70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70DC"/>
    <w:pPr>
      <w:ind w:left="720"/>
      <w:contextualSpacing/>
    </w:pPr>
  </w:style>
  <w:style w:type="table" w:styleId="Mriekatabuky">
    <w:name w:val="Table Grid"/>
    <w:basedOn w:val="Normlnatabuka"/>
    <w:uiPriority w:val="59"/>
    <w:rsid w:val="008B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B70DC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B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70DC"/>
  </w:style>
  <w:style w:type="paragraph" w:styleId="Textbubliny">
    <w:name w:val="Balloon Text"/>
    <w:basedOn w:val="Normlny"/>
    <w:link w:val="TextbublinyChar"/>
    <w:uiPriority w:val="99"/>
    <w:semiHidden/>
    <w:unhideWhenUsed/>
    <w:rsid w:val="000B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53F5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260DDE"/>
    <w:pPr>
      <w:spacing w:after="0" w:line="240" w:lineRule="auto"/>
    </w:pPr>
  </w:style>
  <w:style w:type="paragraph" w:customStyle="1" w:styleId="Default">
    <w:name w:val="Default"/>
    <w:rsid w:val="005C58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4287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14C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C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C5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C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C5E"/>
    <w:rPr>
      <w:b/>
      <w:bCs/>
      <w:sz w:val="20"/>
      <w:szCs w:val="20"/>
    </w:rPr>
  </w:style>
  <w:style w:type="character" w:customStyle="1" w:styleId="bumpedfont15">
    <w:name w:val="bumpedfont15"/>
    <w:basedOn w:val="Predvolenpsmoodseku"/>
    <w:rsid w:val="00F75925"/>
  </w:style>
  <w:style w:type="paragraph" w:styleId="Zkladntext">
    <w:name w:val="Body Text"/>
    <w:basedOn w:val="Normlny"/>
    <w:link w:val="ZkladntextChar"/>
    <w:rsid w:val="005B0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5B0597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89764D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976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40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4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4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8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1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60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4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36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8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04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4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8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4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1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8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5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2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29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6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petrzalka.sk/vseobecne-zavazne-nariadenia/vzn-200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etrzalka.sk/vseobecne-zavazne-nariadenia/2015-vseobecne-zavazne-nariadeni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D8AB-CFF2-4F6A-82DE-9017F5CF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2513</Words>
  <Characters>14325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Petrzalka</Company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Manduchová Nataša</dc:creator>
  <cp:lastModifiedBy>Fiala Stanislav</cp:lastModifiedBy>
  <cp:revision>2</cp:revision>
  <cp:lastPrinted>2020-12-09T06:08:00Z</cp:lastPrinted>
  <dcterms:created xsi:type="dcterms:W3CDTF">2020-12-09T06:29:00Z</dcterms:created>
  <dcterms:modified xsi:type="dcterms:W3CDTF">2020-12-09T06:29:00Z</dcterms:modified>
</cp:coreProperties>
</file>