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9"/>
      </w:tblGrid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8"/>
                <w:szCs w:val="28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8"/>
                <w:szCs w:val="28"/>
                <w:lang w:eastAsia="sk-SK"/>
              </w:rPr>
              <w:t>ZÁKON</w:t>
            </w:r>
            <w:r w:rsidRPr="00D4776D">
              <w:rPr>
                <w:rStyle w:val="Sil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76D">
              <w:rPr>
                <w:rStyle w:val="Siln"/>
                <w:rFonts w:ascii="Times New Roman" w:hAnsi="Times New Roman" w:cs="Times New Roman"/>
                <w:sz w:val="28"/>
                <w:szCs w:val="28"/>
                <w:lang w:eastAsia="sk-SK"/>
              </w:rPr>
              <w:t>96</w:t>
            </w:r>
            <w:bookmarkStart w:id="0" w:name="_GoBack"/>
            <w:bookmarkEnd w:id="0"/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8"/>
                <w:szCs w:val="28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8"/>
                <w:szCs w:val="28"/>
                <w:lang w:eastAsia="sk-SK"/>
              </w:rPr>
              <w:t>Slovenskej národnej rady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8"/>
                <w:szCs w:val="28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8"/>
                <w:szCs w:val="28"/>
                <w:lang w:eastAsia="sk-SK"/>
              </w:rPr>
              <w:t>zo 14. februára 1991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8"/>
                <w:szCs w:val="28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8"/>
                <w:szCs w:val="28"/>
                <w:lang w:eastAsia="sk-SK"/>
              </w:rPr>
              <w:t>o verejných kultúrnych podujatiach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Slovenská národná rada sa uzniesla na tomto zákone:</w:t>
            </w:r>
          </w:p>
        </w:tc>
      </w:tr>
      <w:tr w:rsidR="00D4776D" w:rsidRPr="00D4776D" w:rsidTr="005A2247">
        <w:trPr>
          <w:trHeight w:val="41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5A2247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pict>
                <v:rect id="_x0000_i1025" style="width:0;height:.75pt" o:hralign="center" o:hrstd="t" o:hrnoshade="t" o:hr="t" fillcolor="#e0e0e0" stroked="f"/>
              </w:pic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1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(1) Verejnými kultúrnymi podujatiami (ďalej len „podujatie“)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sa podľa tohto zákona rozumejú verejnosti prístupné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a) divadelné, filmové a iné audiovizuálne predstavenia,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b) koncerty, hudobné a tanečné produkcie,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c) výstavy diel výtvarných umení, diel úžitkového umenia a prác ľudovej výtvarnej tvorivosti,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d) festivaly a prehliadky v oblasti kultúry a umenia,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e) tanečné zábavy a iné akcie v oblasti spoločenskej zábavy.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(2) Pre účely tohto zákona sa za podujatia považujú aj verejnosti prístupné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artistické produkcie, cirkusové a varietné predstavenia.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(3) Podujatie sa považuje za verejnosti prístupné, ak sa koná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pre individuálne neurčených návštevníkov.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2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Usporiadateľmi podujatí môžu byť právnické alebo fyzické osoby.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3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(1) Usporiadateľ je povinný písomne oznámiť zámer usporiadať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podujatie obci, na území ktorej sa má podujatie konať.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Ak sa má podujatie konať na území niekoľkých obcí, treba jeho konanie oznámiť každej z nich.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(2) V oznámení treba uviesť označenie a adresu usporiadateľa,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lastRenderedPageBreak/>
              <w:t xml:space="preserve">názov a obsahové zameranie podujatia, miesto a čas jeho konania.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V jednom oznámení možno uviesť aj viac podujatí.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lastRenderedPageBreak/>
              <w:t xml:space="preserve">(3) Oznámenie určené obci treba podať na obecnom úrade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najneskôr 7 dní pred konaním podujatia. V odôvodnenom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prípade možno oznámenie prijať aj v kratšej lehote.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Zmeny v údajoch uvedených v oznámení je usporiadateľ povinný oznámiť bezodkladne.</w:t>
            </w:r>
          </w:p>
        </w:tc>
      </w:tr>
      <w:tr w:rsidR="00D4776D" w:rsidRPr="00D4776D" w:rsidTr="005A2247">
        <w:trPr>
          <w:trHeight w:val="622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(4) Usporiadatelia, pre ktorých usporadúvanie podujatí vyplýva z ich poslania,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predmetu činnosti alebo z podnikania povoleného podľa osobitných predpisov,</w:t>
            </w:r>
          </w:p>
          <w:p w:rsidR="00D4776D" w:rsidRPr="00D4776D" w:rsidRDefault="005A2247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hyperlink r:id="rId6" w:anchor="f1944274" w:history="1">
              <w:r w:rsidR="00D4776D" w:rsidRPr="00D4776D">
                <w:rPr>
                  <w:rStyle w:val="Siln"/>
                  <w:rFonts w:ascii="Times New Roman" w:hAnsi="Times New Roman" w:cs="Times New Roman"/>
                  <w:b w:val="0"/>
                  <w:sz w:val="24"/>
                  <w:szCs w:val="24"/>
                  <w:lang w:eastAsia="sk-SK"/>
                </w:rPr>
                <w:t>1)</w:t>
              </w:r>
            </w:hyperlink>
            <w:r w:rsidR="00D4776D"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 sa môžu dohodnúť s obcou na obojstranne výhodnejšom spôsobe oznamovania podujatí.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4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(1) Ak sa má konať podujatie mimo priestorov alebo priestranstiev,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ktoré sa na takýto účel obvykle používajú, obec môže navrhnúť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usporiadateľovi iné miesto na jeho konanie, než sa uvádza v oznámení.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(2) Obec môže zakázať podujatie, ktoré sa má konať na mieste,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kde by jeho účastníkom hrozilo závažné nebezpečenstvo pre ich zdravie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alebo kde by konanie podujatia obmedzovalo verejnú dopravu alebo zásobovanie obyvateľstva.</w:t>
            </w:r>
          </w:p>
        </w:tc>
      </w:tr>
      <w:tr w:rsidR="00D4776D" w:rsidRPr="00D4776D" w:rsidTr="005A2247">
        <w:trPr>
          <w:trHeight w:val="622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(3) Na rozhodovanie podľa odseku 2 sa vzťahujú všeobecné predpisy o správnom konaní.</w:t>
            </w:r>
          </w:p>
          <w:p w:rsidR="00D4776D" w:rsidRPr="00D4776D" w:rsidRDefault="005A2247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hyperlink r:id="rId7" w:anchor="f1944275" w:history="1">
              <w:r w:rsidR="00D4776D" w:rsidRPr="00D4776D">
                <w:rPr>
                  <w:rStyle w:val="Siln"/>
                  <w:rFonts w:ascii="Times New Roman" w:hAnsi="Times New Roman" w:cs="Times New Roman"/>
                  <w:b w:val="0"/>
                  <w:sz w:val="24"/>
                  <w:szCs w:val="24"/>
                  <w:lang w:eastAsia="sk-SK"/>
                </w:rPr>
                <w:t>2)</w:t>
              </w:r>
            </w:hyperlink>
            <w:r w:rsidR="00D4776D"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 Opravný prostriedok proti zákazu podujatia nemá odkladný účinok.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5</w:t>
            </w:r>
          </w:p>
        </w:tc>
      </w:tr>
      <w:tr w:rsidR="00D4776D" w:rsidRPr="00D4776D" w:rsidTr="005A2247">
        <w:trPr>
          <w:trHeight w:val="847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Usporiadateľ zodpovedá za utvorenie vhodných podmienok na uskutočnenie podujatia,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za zachovanie poriadku počas jeho priebehu, za dodržiavanie príslušných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autorskoprávnych, daňových, zdravotno-hygienických, požiarnych,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bezpečnostných a iných právnych predpisov</w:t>
            </w:r>
            <w:hyperlink r:id="rId8" w:anchor="f1944276" w:history="1">
              <w:r w:rsidRPr="00D4776D">
                <w:rPr>
                  <w:rStyle w:val="Siln"/>
                  <w:rFonts w:ascii="Times New Roman" w:hAnsi="Times New Roman" w:cs="Times New Roman"/>
                  <w:b w:val="0"/>
                  <w:sz w:val="24"/>
                  <w:szCs w:val="24"/>
                  <w:lang w:eastAsia="sk-SK"/>
                </w:rPr>
                <w:t>3)</w:t>
              </w:r>
            </w:hyperlink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 a za umožnenie výkonu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dozoru na to oprávneným orgánom.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6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(1) Obec je oprávnená dozerať, či sa podujatie koná v súlade s oznámením podľa § 3.</w:t>
            </w:r>
          </w:p>
        </w:tc>
      </w:tr>
      <w:tr w:rsidR="00D4776D" w:rsidRPr="00D4776D" w:rsidTr="005A2247">
        <w:trPr>
          <w:trHeight w:val="1020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lastRenderedPageBreak/>
              <w:t xml:space="preserve">(2) Osoba, ktorú obec výkonom dozoru písomne poverila (ďalej len „dozorný orgán“),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upozorní usporiadateľa na zistené nedostatky a upovedomí ho o tom, aké následky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podľa tohto zákona môže mať ich neodstránenie. Ak sa na podujatí porušujú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ľudské práva a slobody, dozorný orgán podujatie zakáže, resp. ho preruší.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Podujatie možno zakázať aj z toho dôvodu, že sa jeho konanie neoznámilo obci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alebo by bolo v rozpore s týmto zákonom.</w:t>
            </w:r>
          </w:p>
        </w:tc>
      </w:tr>
      <w:tr w:rsidR="00D4776D" w:rsidRPr="00D4776D" w:rsidTr="005A2247">
        <w:trPr>
          <w:trHeight w:val="847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(3) Dozorný orgán oznámi rozhodnutie</w:t>
            </w:r>
            <w:hyperlink r:id="rId9" w:anchor="f1944275" w:history="1">
              <w:r w:rsidRPr="00D4776D">
                <w:rPr>
                  <w:rStyle w:val="Siln"/>
                  <w:rFonts w:ascii="Times New Roman" w:hAnsi="Times New Roman" w:cs="Times New Roman"/>
                  <w:b w:val="0"/>
                  <w:sz w:val="24"/>
                  <w:szCs w:val="24"/>
                  <w:lang w:eastAsia="sk-SK"/>
                </w:rPr>
                <w:t>2)</w:t>
              </w:r>
            </w:hyperlink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 o zákaze podujatia alebo o jeho prerušení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usporiadateľovi ústnym vyhlásením. Písomné vyhotovenie tohto rozhodnutia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treba doručiť usporiadateľovi do troch dní. Opravný prostriedok proti rozhodnutiu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o zákaze alebo prerušení podujatia nemá odkladný účinok.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7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Usporiadateľovi, ktorý je právnickou osobou, môže obec za nesplnenie oznamovacej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povinnosti podľa tohto zákona, za usporiadanie podujatia, ktoré bolo zakázané,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ako aj za porušenie iných povinností usporiadateľa uložiť pokutu do 332 eur.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center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8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(1) Ustanovenia tohto zákona sa nevzťahujú na podujatia, ktoré sa konajú v priestoroch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ozbrojených síl a ozbrojených zborov.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(2) Ustanovenie § 3 sa nevzťahuje na produkcie bez vstupného na verejných priestranstvách,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ktoré na tento účel určila obec.</w:t>
            </w:r>
          </w:p>
        </w:tc>
      </w:tr>
      <w:tr w:rsidR="00D4776D" w:rsidRPr="00331710" w:rsidTr="005A2247">
        <w:trPr>
          <w:trHeight w:val="770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331710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331710">
              <w:rPr>
                <w:rStyle w:val="Siln"/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Prechodné ustanovenia počas trvania mimoriadnej situácie, núdzového stavu alebo</w:t>
            </w:r>
          </w:p>
          <w:p w:rsidR="00D4776D" w:rsidRPr="00331710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331710">
              <w:rPr>
                <w:rStyle w:val="Siln"/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výnimočného stavu vyhláseného v súvislosti s ochorením COVID-19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8a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(1) Usporiadateľ podujatia, ktoré sa od 10. marca 2020 v situácii spôsobenej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zákazom podujatí v súvislosti s ochorením COVID-19, počas trvania mimoriadnej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situácie, núdzového stavu alebo výnimočného stavu vyhláseného v súvislosti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s ochorením COVID-19 alebo v čase po ich ukončení do 31. decembra 2020 neuskutoční,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lastRenderedPageBreak/>
              <w:t xml:space="preserve">a) nie je v omeškaní s plnením záväzkov zo zmlúv, ktorými zabezpečoval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usporiadateľ uskutočnenie podujatia,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b) nie je povinný uspokojiť nárok na zmluvnú pokutu alebo inú sankciu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dohodnutú ako zabezpečenie záväzku, ktorý usporiadateľ nemohol plniť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z dôvodu neuskutočnenia podujatia,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c) je z dôvodu nemožnosti plnenia oprávnený odstúpiť od zmluvy,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ktorou usporiadateľ zabezpečoval uskutočnenie podujatia, ak sa zmluvné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strany nedohodnú inak.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(2) Pri odstúpení od zmluvy podľa odseku 1 usporiadateľom nie je dotknutý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nárok druhej zmluvnej strany na úhradu za plnenie, ktoré už bolo poskytnuté.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Ak sa zmluvné strany nedohodnú inak, usporiadateľom zaplatená odplata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za plnenie, ktoré je dotknuté odstúpením od zmluvy podľa odseku 1, sa zánikom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zmluvy považuje za bezdôvodné obohatenie.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(3) Zmluvami podľa odseku 1 sa rozumejú zmluvy uzatvorené usporiadateľom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na zabezpečenie účasti autorov, výkonných umelcov alebo iných účinkujúcich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na podujatí, technicko-organizačného štábu podujatia alebo usporiadateľských služieb,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alebo na iné technické alebo organizačné zabezpečenie podujatia vrátane nájmu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technických zariadení, priestorov alebo priestranstva.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8b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(1) Usporiadateľ podujatia, ktoré sa od 10. marca 2020 v situácii spôsobenej zákazom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podujatí v súvislosti s ochorením COVID-19, počas trvania mimoriadnej situácie,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núdzového stavu alebo výnimočného stavu vyhláseného v súvislosti s ochorením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COVID-19 alebo v čase po ich ukončení do 31. decembra 2020 neuskutoční,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je oprávnený osobe, ktorá si na toto podujatie kúpila vstupenku (ďalej len „účastník podujatia“),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a) predĺžiť platnosť vstupenky, pokiaľ sa podujatie uskutoční v náhradnom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termíne do 31. decembra 2021,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lastRenderedPageBreak/>
              <w:t xml:space="preserve">b) ponúknuť poukážku v hodnote ceny vstupenky s možnosťou výberu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iného podujatia usporiadateľa alebo inej osoby spolupracujúcej s usporiadateľom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s platnosťou najmenej do 31. decembra 2021, alebo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c) vrátiť cenu vstupenky do 13 mesiacov od neuskutočnenia podujatia,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ak účastník podujatia odmietol predĺženie podľa písmena a), neprijal ponuku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podľa písmena b) alebo si uplatnil u usporiadateľa nárok na vrátenie ceny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vstupenky v lehote dohodnutej s usporiadateľom, ktorá nesmie byť kratšia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ako jeden mesiac od neuskutočnenia podujatia.</w:t>
            </w:r>
          </w:p>
        </w:tc>
      </w:tr>
      <w:tr w:rsidR="00D4776D" w:rsidRPr="00D4776D" w:rsidTr="005A2247">
        <w:trPr>
          <w:trHeight w:val="1020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(2) Ak účastník podujatia súhlasí s predĺžením platnosti vstupenky, nie však s určeným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náhradným termínom podujatia, usporiadateľ môže ponúknuť účastníkovi podujatia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poukážku podľa odseku 1 písm. b), ak je to možné a účastník podujatia s tým súhlasí,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inak je povinný vrátiť mu cenu vstupenky podľa odseku 1 písm. c); usporiadateľ,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ktorý predlžuje platnosť vstupenky, je povinný zverejniť náhradný termín podujatia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najneskôr 60 dní pred jeho uskutočnením, pokiaľ ho neoznámil účastníkovi podujatia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pri predĺžení platnosti vstupeniek.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8c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(1) Usporiadateľ podujatia, ktoré sa od 1. januára 2021 v situácii spôsobenej zákazom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podujatí v súvislosti s ochorením COVID-19, počas trvania mimoriadnej situácie,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núdzového stavu alebo výnimočného stavu vyhláseného v súvislosti s ochorením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COVID-19 alebo v čase po ich ukončení do 30. júna 2021 neuskutoční,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a) nie je v omeškaní s plnením záväzkov zo zmlúv, ktorými zabezpečoval usporiadateľ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uskutočnenie podujatia,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b) nie je povinný uspokojiť nárok na zmluvnú pokutu alebo inú sankciu dohodnutú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ako zabezpečenie záväzku, ktorý usporiadateľ nemohol plniť z dôvodu neuskutočnenia podujatia,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lastRenderedPageBreak/>
              <w:t>c) je z dôvodu nemožnosti plnenia oprávnený odstúpiť od zmluvy, ktorou usporiadateľ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zabezpečoval uskutočnenie podujatia, ak sa zmluvné strany nedohodnú inak.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(2) Pri odstúpení od zmluvy podľa odseku 1 písm. c) usporiadateľom nie je dotknutý nárok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druhej zmluvnej strany na úhradu za plnenie, ktoré už bolo poskytnuté. Ak sa zmluvné strany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nedohodnú inak, usporiadateľom zaplatená odplata za plnenie, ktoré je dotknuté odstúpením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od zmluvy podľa odseku 1 písm. c), sa zánikom zmluvy považuje za bezdôvodné obohatenie.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(3) Zmluvami podľa odseku 1 sa rozumejú zmluvy uzatvorené usporiadateľom na zabezpečenie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účasti autorov, výkonných umelcov alebo iných účinkujúcich na podujatí,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technicko-organizačného štábu podujatia alebo usporiadateľských služieb, alebo na iné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technické alebo organizačné zabezpečenie podujatia vrátane nájmu technických zariadení,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priestorov alebo priestranstva.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8d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(1) Usporiadateľ podujatia, ktoré sa od 1. januára 2021 v situácii spôsobenej zákazom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podujatí v súvislosti s ochorením COVID-19, počas trvania mimoriadnej situácie,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núdzového stavu alebo výnimočného stavu vyhláseného v súvislosti s ochorením COVID-19 alebo v čase po ich ukončení do 30. júna 2021 neuskutoční, je oprávnený účastníkovi podujatia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a) predĺžiť platnosť vstupenky, pokiaľ sa podujatie uskutoční v náhradnom termíne do 30. júna 2022,</w:t>
            </w:r>
          </w:p>
        </w:tc>
      </w:tr>
      <w:tr w:rsidR="00D4776D" w:rsidRPr="00D4776D" w:rsidTr="005A2247">
        <w:trPr>
          <w:trHeight w:val="570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b) ponúknuť poukážku v hodnote ceny vstupenky s možnosťou výberu iného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podujatia usporiadateľa alebo výberu podujatia u inej osoby spolupracujúcej s usporiadateľom s platnosťou najmenej do 30. júna 2022, alebo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69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c) vrátiť cenu vstupenky do 13 mesiacov od neuskutočnenia podujatia, ak účastník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 podujatia odmietol predĺženie podľa písmena a), neprijal ponuku podľa písmena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b) alebo si uplatnil u usporiadateľa nárok na vrátenie ceny vstupenky v lehote dohodnutej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lastRenderedPageBreak/>
              <w:t>s usporiadateľom, ktorá nesmie byť kratšia ako jeden mesiac od neuskutočnenia podujatia.</w:t>
            </w:r>
          </w:p>
        </w:tc>
      </w:tr>
      <w:tr w:rsidR="00D4776D" w:rsidRPr="00D4776D" w:rsidTr="005A2247">
        <w:trPr>
          <w:trHeight w:val="124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lastRenderedPageBreak/>
              <w:t xml:space="preserve">(2) Ak účastník podujatia súhlasí s predĺžením platnosti vstupenky, nie však s určeným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náhradným termínom podujatia, usporiadateľ môže ponúknuť účastníkovi podujatia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poukážku podľa odseku 1 písm. b), ak je to možné a účastník podujatia s tým súhlasí,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inak je usporiadateľ povinný vrátiť účastníkovi podujatia cenu vstupenky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podľa odseku 1 písm. c); usporiadateľ, ktorý predlžuje platnosť vstupenky,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je povinný zverejniť náhradný termín podujatia najneskôr 60 dní pred jeho uskutočnením,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pokiaľ ho neoznámil účastníkovi podujatia pri predĺžení platnosti vstupeniek.</w:t>
            </w:r>
          </w:p>
        </w:tc>
      </w:tr>
      <w:tr w:rsidR="00D4776D" w:rsidRPr="00D4776D" w:rsidTr="005A2247">
        <w:trPr>
          <w:trHeight w:val="34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sz w:val="24"/>
                <w:szCs w:val="24"/>
                <w:lang w:eastAsia="sk-SK"/>
              </w:rPr>
              <w:t>§ 8e</w:t>
            </w:r>
          </w:p>
        </w:tc>
      </w:tr>
      <w:tr w:rsidR="00D4776D" w:rsidRPr="00D4776D" w:rsidTr="005A2247">
        <w:trPr>
          <w:trHeight w:val="440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Spoločné ustanovenie v súvislosti s ochorením COVID-19</w:t>
            </w:r>
          </w:p>
        </w:tc>
      </w:tr>
      <w:tr w:rsidR="00D4776D" w:rsidRPr="00D4776D" w:rsidTr="005A2247">
        <w:trPr>
          <w:trHeight w:val="795"/>
        </w:trPr>
        <w:tc>
          <w:tcPr>
            <w:tcW w:w="9789" w:type="dxa"/>
            <w:shd w:val="clear" w:color="auto" w:fill="auto"/>
            <w:tcMar>
              <w:top w:w="0" w:type="dxa"/>
              <w:left w:w="420" w:type="dxa"/>
              <w:bottom w:w="0" w:type="dxa"/>
              <w:right w:w="600" w:type="dxa"/>
            </w:tcMar>
            <w:hideMark/>
          </w:tcPr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Zákazom podujatia v súvislosti s ochorením COVID-19 sa rozumie aj obmedzenie podujatia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v súvislosti s ochorením COVID-19, najmä obmedzenie počtu účastníkov podujatia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alebo iné preventívne opatrenia sťažujúce uskutočnenie podujatia; ustanovenia § 8a až 8d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 xml:space="preserve">sa vzťahujú aj na prípady, v ktorých sa podujatie neuskutočnilo, pretože bolo zrušené </w:t>
            </w:r>
          </w:p>
          <w:p w:rsidR="00D4776D" w:rsidRPr="00D4776D" w:rsidRDefault="00D4776D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 w:rsidRPr="00D477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t>usporiadateľom podujatia z preventívnych dôvodov.</w:t>
            </w:r>
          </w:p>
        </w:tc>
      </w:tr>
      <w:tr w:rsidR="00D4776D" w:rsidRPr="00D4776D" w:rsidTr="005A2247">
        <w:trPr>
          <w:trHeight w:val="415"/>
        </w:trPr>
        <w:tc>
          <w:tcPr>
            <w:tcW w:w="9789" w:type="dxa"/>
            <w:shd w:val="clear" w:color="auto" w:fill="auto"/>
            <w:tcMar>
              <w:top w:w="0" w:type="dxa"/>
              <w:left w:w="150" w:type="dxa"/>
              <w:bottom w:w="0" w:type="dxa"/>
              <w:right w:w="600" w:type="dxa"/>
            </w:tcMar>
            <w:hideMark/>
          </w:tcPr>
          <w:p w:rsidR="00D4776D" w:rsidRPr="00D4776D" w:rsidRDefault="005A2247" w:rsidP="00D4776D">
            <w:pPr>
              <w:jc w:val="both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  <w:lang w:eastAsia="sk-SK"/>
              </w:rPr>
              <w:pict>
                <v:rect id="_x0000_i1026" style="width:0;height:.75pt" o:hralign="center" o:hrstd="t" o:hrnoshade="t" o:hr="t" fillcolor="#e0e0e0" stroked="f"/>
              </w:pict>
            </w:r>
          </w:p>
        </w:tc>
      </w:tr>
    </w:tbl>
    <w:p w:rsidR="00610FA9" w:rsidRDefault="00610FA9"/>
    <w:sectPr w:rsidR="00610FA9" w:rsidSect="005A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6D"/>
    <w:rsid w:val="00331710"/>
    <w:rsid w:val="005A2247"/>
    <w:rsid w:val="00610FA9"/>
    <w:rsid w:val="00D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47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D477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4776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4776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">
    <w:name w:val="para"/>
    <w:basedOn w:val="Normlny"/>
    <w:rsid w:val="00D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D4776D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D4776D"/>
    <w:rPr>
      <w:color w:val="0000FF"/>
      <w:u w:val="single"/>
    </w:rPr>
  </w:style>
  <w:style w:type="paragraph" w:customStyle="1" w:styleId="ppc1">
    <w:name w:val="ppc1"/>
    <w:basedOn w:val="Normlny"/>
    <w:rsid w:val="00D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47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47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D477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4776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4776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">
    <w:name w:val="para"/>
    <w:basedOn w:val="Normlny"/>
    <w:rsid w:val="00D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D4776D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D4776D"/>
    <w:rPr>
      <w:color w:val="0000FF"/>
      <w:u w:val="single"/>
    </w:rPr>
  </w:style>
  <w:style w:type="paragraph" w:customStyle="1" w:styleId="ppc1">
    <w:name w:val="ppc1"/>
    <w:basedOn w:val="Normlny"/>
    <w:rsid w:val="00D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47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1991-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ypreludi.sk/zz/1991-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ypreludi.sk/zz/1991-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1991-9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865A-831E-47DB-A2E3-661C18EA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Emeljanovova</dc:creator>
  <cp:lastModifiedBy>Emeljanovova</cp:lastModifiedBy>
  <cp:revision>2</cp:revision>
  <dcterms:created xsi:type="dcterms:W3CDTF">2021-05-11T08:24:00Z</dcterms:created>
  <dcterms:modified xsi:type="dcterms:W3CDTF">2021-05-11T09:30:00Z</dcterms:modified>
</cp:coreProperties>
</file>